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hint="eastAsia" w:ascii="Arial" w:hAnsi="Arial" w:cs="Arial"/>
          <w:b/>
          <w:bCs/>
          <w:sz w:val="22"/>
          <w:szCs w:val="22"/>
        </w:rPr>
        <w:t>#97</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R1-1906469</w:t>
      </w:r>
    </w:p>
    <w:p>
      <w:pPr>
        <w:tabs>
          <w:tab w:val="center" w:pos="4536"/>
          <w:tab w:val="right" w:pos="9639"/>
        </w:tabs>
        <w:spacing w:before="120" w:after="120" w:line="240" w:lineRule="auto"/>
        <w:ind w:right="2"/>
        <w:rPr>
          <w:rFonts w:ascii="Arial" w:hAnsi="Arial" w:cs="Arial"/>
          <w:b/>
          <w:bCs/>
          <w:sz w:val="22"/>
          <w:szCs w:val="22"/>
        </w:rPr>
      </w:pPr>
      <w:r>
        <w:rPr>
          <w:rFonts w:hint="eastAsia" w:ascii="Arial" w:hAnsi="Arial" w:cs="Arial"/>
          <w:b/>
          <w:bCs/>
          <w:sz w:val="22"/>
          <w:szCs w:val="22"/>
        </w:rPr>
        <w:t>Reno, USA, May 13</w:t>
      </w:r>
      <w:r>
        <w:rPr>
          <w:rFonts w:hint="eastAsia" w:ascii="Arial" w:hAnsi="Arial" w:cs="Arial"/>
          <w:b/>
          <w:bCs/>
          <w:sz w:val="22"/>
          <w:szCs w:val="22"/>
          <w:vertAlign w:val="superscript"/>
        </w:rPr>
        <w:t>th</w:t>
      </w:r>
      <w:r>
        <w:rPr>
          <w:rFonts w:hint="eastAsia" w:ascii="Arial" w:hAnsi="Arial" w:cs="Arial"/>
          <w:b/>
          <w:bCs/>
          <w:sz w:val="22"/>
          <w:szCs w:val="22"/>
        </w:rPr>
        <w:t xml:space="preserve"> </w:t>
      </w:r>
      <w:r>
        <w:rPr>
          <w:rFonts w:ascii="Arial" w:hAnsi="Arial" w:cs="Arial"/>
          <w:b/>
          <w:bCs/>
          <w:sz w:val="22"/>
          <w:szCs w:val="22"/>
        </w:rPr>
        <w:t xml:space="preserve">- </w:t>
      </w:r>
      <w:r>
        <w:rPr>
          <w:rFonts w:hint="eastAsia" w:ascii="Arial" w:hAnsi="Arial" w:cs="Arial"/>
          <w:b/>
          <w:bCs/>
          <w:sz w:val="22"/>
          <w:szCs w:val="22"/>
        </w:rPr>
        <w:t>17</w:t>
      </w:r>
      <w:r>
        <w:rPr>
          <w:rFonts w:hint="eastAsia" w:ascii="Arial" w:hAnsi="Arial" w:cs="Arial"/>
          <w:b/>
          <w:bCs/>
          <w:sz w:val="22"/>
          <w:szCs w:val="22"/>
          <w:vertAlign w:val="superscript"/>
        </w:rPr>
        <w:t>th</w:t>
      </w:r>
      <w:r>
        <w:rPr>
          <w:rFonts w:hint="eastAsia" w:ascii="Arial" w:hAnsi="Arial" w:cs="Arial"/>
          <w:b/>
          <w:bCs/>
          <w:sz w:val="22"/>
          <w:szCs w:val="22"/>
        </w:rPr>
        <w:t>, 2019</w:t>
      </w:r>
    </w:p>
    <w:p>
      <w:pPr>
        <w:tabs>
          <w:tab w:val="left" w:pos="1985"/>
        </w:tabs>
        <w:spacing w:before="240"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Discussion on PHY procedures for sidelink</w:t>
      </w:r>
    </w:p>
    <w:p>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Sanechips</w:t>
      </w:r>
    </w:p>
    <w:p>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7.2.4.5</w:t>
      </w:r>
    </w:p>
    <w:p>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 w:val="20"/>
        </w:rPr>
      </w:pPr>
      <w:r>
        <w:rPr>
          <w:rFonts w:hint="eastAsia"/>
          <w:sz w:val="20"/>
        </w:rPr>
        <w:t>In RAN1#96bis meeting, the following agreements and work assumption for PHY procedures for NR sidelink are achieved [1]:</w:t>
      </w:r>
    </w:p>
    <w:tbl>
      <w:tblPr>
        <w:tblStyle w:val="1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overflowPunct w:val="0"/>
              <w:autoSpaceDE w:val="0"/>
              <w:autoSpaceDN w:val="0"/>
              <w:adjustRightInd w:val="0"/>
              <w:spacing w:before="120" w:after="120"/>
              <w:ind w:left="1440" w:hanging="1440"/>
              <w:textAlignment w:val="baseline"/>
              <w:rPr>
                <w:highlight w:val="green"/>
              </w:rPr>
            </w:pPr>
            <w:r>
              <w:rPr>
                <w:highlight w:val="green"/>
              </w:rPr>
              <w:t>Agreements:</w:t>
            </w:r>
          </w:p>
          <w:p>
            <w:pPr>
              <w:pStyle w:val="22"/>
              <w:numPr>
                <w:ilvl w:val="0"/>
                <w:numId w:val="6"/>
              </w:numPr>
              <w:overflowPunct w:val="0"/>
              <w:spacing w:before="120" w:beforeAutospacing="1" w:after="60" w:afterLines="0"/>
              <w:textAlignment w:val="baseline"/>
              <w:rPr>
                <w:rFonts w:ascii="Calibri" w:hAnsi="Calibri" w:cs="Calibri"/>
                <w:sz w:val="20"/>
              </w:rPr>
            </w:pPr>
            <w:r>
              <w:rPr>
                <w:rFonts w:ascii="Calibri" w:hAnsi="Calibri" w:cs="Calibri"/>
                <w:sz w:val="20"/>
              </w:rPr>
              <w:t>Confirm the following working assumption:</w:t>
            </w:r>
          </w:p>
          <w:p>
            <w:pPr>
              <w:pStyle w:val="22"/>
              <w:numPr>
                <w:ilvl w:val="1"/>
                <w:numId w:val="6"/>
              </w:numPr>
              <w:overflowPunct w:val="0"/>
              <w:spacing w:before="120" w:beforeAutospacing="1" w:after="120"/>
              <w:textAlignment w:val="baseline"/>
              <w:rPr>
                <w:rFonts w:ascii="Calibri" w:hAnsi="Calibri" w:cs="Calibri"/>
                <w:sz w:val="20"/>
              </w:rPr>
            </w:pPr>
            <w:r>
              <w:rPr>
                <w:rFonts w:ascii="Calibri" w:hAnsi="Calibri" w:cs="Calibri"/>
                <w:sz w:val="20"/>
              </w:rPr>
              <w:t>Working assumption:</w:t>
            </w:r>
          </w:p>
          <w:p>
            <w:pPr>
              <w:pStyle w:val="22"/>
              <w:numPr>
                <w:ilvl w:val="2"/>
                <w:numId w:val="6"/>
              </w:numPr>
              <w:overflowPunct w:val="0"/>
              <w:spacing w:before="120" w:beforeAutospacing="1" w:after="120"/>
              <w:textAlignment w:val="baseline"/>
              <w:rPr>
                <w:rFonts w:ascii="Calibri" w:hAnsi="Calibri" w:cs="Calibri"/>
                <w:sz w:val="20"/>
              </w:rPr>
            </w:pPr>
            <w:r>
              <w:rPr>
                <w:rFonts w:ascii="Calibri" w:hAnsi="Calibri" w:cs="Calibri"/>
                <w:sz w:val="20"/>
              </w:rPr>
              <w:t>When HARQ feedback is enabled for groupcast, support (options as identified in RAN1#95):</w:t>
            </w:r>
          </w:p>
          <w:p>
            <w:pPr>
              <w:pStyle w:val="22"/>
              <w:numPr>
                <w:ilvl w:val="3"/>
                <w:numId w:val="6"/>
              </w:numPr>
              <w:overflowPunct w:val="0"/>
              <w:spacing w:before="120" w:beforeAutospacing="1" w:after="120"/>
              <w:textAlignment w:val="baseline"/>
              <w:rPr>
                <w:rFonts w:ascii="Calibri" w:hAnsi="Calibri" w:cs="Calibri"/>
                <w:sz w:val="20"/>
              </w:rPr>
            </w:pPr>
            <w:r>
              <w:rPr>
                <w:rFonts w:ascii="Calibri" w:hAnsi="Calibri" w:cs="Calibri"/>
                <w:sz w:val="20"/>
              </w:rPr>
              <w:t>Option 1: Receiver UE transmits only HARQ NACK</w:t>
            </w:r>
          </w:p>
          <w:p>
            <w:pPr>
              <w:pStyle w:val="22"/>
              <w:numPr>
                <w:ilvl w:val="3"/>
                <w:numId w:val="6"/>
              </w:numPr>
              <w:overflowPunct w:val="0"/>
              <w:spacing w:before="120" w:beforeAutospacing="1" w:after="120"/>
              <w:textAlignment w:val="baseline"/>
              <w:rPr>
                <w:rFonts w:ascii="Calibri" w:hAnsi="Calibri" w:cs="Calibri"/>
                <w:sz w:val="20"/>
              </w:rPr>
            </w:pPr>
            <w:r>
              <w:rPr>
                <w:rFonts w:ascii="Calibri" w:hAnsi="Calibri" w:cs="Calibri"/>
                <w:sz w:val="20"/>
              </w:rPr>
              <w:t>Option 2: Receiver UE transmits HARQ ACK/NACK</w:t>
            </w:r>
          </w:p>
          <w:p>
            <w:pPr>
              <w:pStyle w:val="22"/>
              <w:numPr>
                <w:ilvl w:val="0"/>
                <w:numId w:val="6"/>
              </w:numPr>
              <w:overflowPunct w:val="0"/>
              <w:spacing w:before="120" w:beforeAutospacing="1" w:after="120"/>
              <w:textAlignment w:val="baseline"/>
              <w:rPr>
                <w:rFonts w:ascii="Calibri" w:hAnsi="Calibri" w:cs="Calibri"/>
                <w:sz w:val="20"/>
              </w:rPr>
            </w:pPr>
            <w:r>
              <w:rPr>
                <w:rFonts w:ascii="Calibri" w:hAnsi="Calibri" w:cs="Calibri"/>
                <w:sz w:val="20"/>
              </w:rPr>
              <w:t>Note: RAN1 has not concluded the respective applicability of option 1 vs. option 2 yet</w:t>
            </w:r>
          </w:p>
          <w:p>
            <w:pPr>
              <w:pStyle w:val="22"/>
              <w:numPr>
                <w:ilvl w:val="0"/>
                <w:numId w:val="6"/>
              </w:numPr>
              <w:overflowPunct w:val="0"/>
              <w:spacing w:before="120" w:beforeAutospacing="1" w:after="120"/>
              <w:textAlignment w:val="baseline"/>
              <w:rPr>
                <w:rFonts w:ascii="Calibri" w:hAnsi="Calibri" w:cs="Calibri"/>
                <w:sz w:val="20"/>
              </w:rPr>
            </w:pPr>
            <w:r>
              <w:rPr>
                <w:rFonts w:ascii="Calibri" w:hAnsi="Calibri" w:cs="Calibri"/>
                <w:sz w:val="20"/>
              </w:rPr>
              <w:t xml:space="preserve">Send LS to RAN2 to inform RAN1’s agreement on HARQ feedback for groupcast – draft LS to be prepared in </w:t>
            </w:r>
            <w:r>
              <w:fldChar w:fldCharType="begin"/>
            </w:r>
            <w:r>
              <w:instrText xml:space="preserve"> HYPERLINK "file:///C:\\Users\\wanshic\\Documents\\Standards\\3GPP%20Standards\\Meeting%20Documents\\TSGR1_96b\\R1-1905790.zip" </w:instrText>
            </w:r>
            <w:r>
              <w:fldChar w:fldCharType="separate"/>
            </w:r>
            <w:r>
              <w:rPr>
                <w:rStyle w:val="12"/>
                <w:rFonts w:ascii="Calibri" w:hAnsi="Calibri" w:cs="Calibri"/>
                <w:b/>
                <w:sz w:val="20"/>
              </w:rPr>
              <w:t>R1-19</w:t>
            </w:r>
            <w:bookmarkStart w:id="0" w:name="_Hlt5916026"/>
            <w:r>
              <w:rPr>
                <w:rStyle w:val="12"/>
                <w:rFonts w:ascii="Calibri" w:hAnsi="Calibri" w:cs="Calibri"/>
                <w:b/>
                <w:sz w:val="20"/>
              </w:rPr>
              <w:t>0</w:t>
            </w:r>
            <w:bookmarkEnd w:id="0"/>
            <w:r>
              <w:rPr>
                <w:rStyle w:val="12"/>
                <w:rFonts w:ascii="Calibri" w:hAnsi="Calibri" w:cs="Calibri"/>
                <w:b/>
                <w:sz w:val="20"/>
              </w:rPr>
              <w:t>5790</w:t>
            </w:r>
            <w:r>
              <w:rPr>
                <w:rStyle w:val="12"/>
                <w:rFonts w:ascii="Calibri" w:hAnsi="Calibri" w:cs="Calibri"/>
                <w:b/>
                <w:sz w:val="20"/>
              </w:rPr>
              <w:fldChar w:fldCharType="end"/>
            </w:r>
            <w:r>
              <w:rPr>
                <w:rFonts w:ascii="Calibri" w:hAnsi="Calibri" w:cs="Calibri"/>
                <w:sz w:val="20"/>
              </w:rPr>
              <w:t xml:space="preserve"> (Hanbyul, LGE),which is </w:t>
            </w:r>
            <w:r>
              <w:rPr>
                <w:rFonts w:ascii="Calibri" w:hAnsi="Calibri" w:cs="Calibri"/>
                <w:sz w:val="20"/>
                <w:highlight w:val="green"/>
              </w:rPr>
              <w:t xml:space="preserve">approved </w:t>
            </w:r>
            <w:r>
              <w:rPr>
                <w:rFonts w:ascii="Calibri" w:hAnsi="Calibri" w:cs="Calibri"/>
                <w:sz w:val="20"/>
              </w:rPr>
              <w:t xml:space="preserve">with final LS in </w:t>
            </w:r>
            <w:r>
              <w:rPr>
                <w:rFonts w:ascii="Calibri" w:hAnsi="Calibri" w:cs="Calibri"/>
                <w:sz w:val="20"/>
                <w:highlight w:val="green"/>
              </w:rPr>
              <w:t>R1-1905906</w:t>
            </w:r>
          </w:p>
          <w:p>
            <w:pPr>
              <w:pStyle w:val="22"/>
              <w:overflowPunct w:val="0"/>
              <w:spacing w:before="120" w:beforeAutospacing="1" w:after="120"/>
              <w:textAlignment w:val="baseline"/>
              <w:rPr>
                <w:rFonts w:ascii="Calibri" w:hAnsi="Calibri" w:cs="Calibri"/>
                <w:sz w:val="20"/>
              </w:rPr>
            </w:pPr>
            <w:r>
              <w:rPr>
                <w:rFonts w:ascii="Calibri" w:hAnsi="Calibri" w:cs="Calibri"/>
                <w:sz w:val="20"/>
                <w:highlight w:val="green"/>
              </w:rPr>
              <w:t>Agreements</w:t>
            </w:r>
            <w:r>
              <w:rPr>
                <w:rFonts w:ascii="Calibri" w:hAnsi="Calibri" w:cs="Calibri"/>
                <w:sz w:val="20"/>
              </w:rPr>
              <w:t>:</w:t>
            </w:r>
          </w:p>
          <w:p>
            <w:pPr>
              <w:pStyle w:val="22"/>
              <w:numPr>
                <w:ilvl w:val="0"/>
                <w:numId w:val="7"/>
              </w:numPr>
              <w:overflowPunct w:val="0"/>
              <w:spacing w:before="120" w:beforeAutospacing="1" w:after="120"/>
              <w:textAlignment w:val="baseline"/>
              <w:rPr>
                <w:rFonts w:ascii="Calibri" w:hAnsi="Calibri" w:cs="Calibri"/>
                <w:sz w:val="20"/>
              </w:rPr>
            </w:pPr>
            <w:r>
              <w:rPr>
                <w:rFonts w:ascii="Calibri" w:hAnsi="Calibri" w:cs="Calibri"/>
                <w:sz w:val="20"/>
              </w:rPr>
              <w:t>In HARQ feedback for groupcast,</w:t>
            </w:r>
          </w:p>
          <w:p>
            <w:pPr>
              <w:pStyle w:val="22"/>
              <w:numPr>
                <w:ilvl w:val="1"/>
                <w:numId w:val="7"/>
              </w:numPr>
              <w:overflowPunct w:val="0"/>
              <w:spacing w:before="120" w:beforeAutospacing="1" w:after="120"/>
              <w:textAlignment w:val="baseline"/>
              <w:rPr>
                <w:rFonts w:ascii="Calibri" w:hAnsi="Calibri" w:cs="Calibri"/>
                <w:sz w:val="20"/>
              </w:rPr>
            </w:pPr>
            <w:r>
              <w:rPr>
                <w:rFonts w:ascii="Calibri" w:hAnsi="Calibri" w:cs="Calibri"/>
                <w:sz w:val="20"/>
              </w:rPr>
              <w:t xml:space="preserve">When Option 1 is used for a groupcast transmission, it is supported </w:t>
            </w:r>
          </w:p>
          <w:p>
            <w:pPr>
              <w:pStyle w:val="22"/>
              <w:numPr>
                <w:ilvl w:val="2"/>
                <w:numId w:val="7"/>
              </w:numPr>
              <w:overflowPunct w:val="0"/>
              <w:spacing w:before="120" w:beforeAutospacing="1" w:after="120"/>
              <w:textAlignment w:val="baseline"/>
              <w:rPr>
                <w:rFonts w:ascii="Calibri" w:hAnsi="Calibri" w:cs="Calibri"/>
                <w:sz w:val="20"/>
              </w:rPr>
            </w:pPr>
            <w:r>
              <w:rPr>
                <w:rFonts w:ascii="Calibri" w:hAnsi="Calibri" w:cs="Calibri"/>
                <w:sz w:val="20"/>
              </w:rPr>
              <w:t>all the receiver UEs share a PSFCH</w:t>
            </w:r>
          </w:p>
          <w:p>
            <w:pPr>
              <w:pStyle w:val="22"/>
              <w:numPr>
                <w:ilvl w:val="2"/>
                <w:numId w:val="7"/>
              </w:numPr>
              <w:overflowPunct w:val="0"/>
              <w:spacing w:before="120" w:beforeAutospacing="1" w:after="120"/>
              <w:textAlignment w:val="baseline"/>
              <w:rPr>
                <w:rFonts w:ascii="Calibri" w:hAnsi="Calibri" w:cs="Calibri"/>
                <w:sz w:val="20"/>
              </w:rPr>
            </w:pPr>
            <w:r>
              <w:rPr>
                <w:rFonts w:ascii="Calibri" w:hAnsi="Calibri" w:cs="Calibri"/>
                <w:sz w:val="20"/>
              </w:rPr>
              <w:t>FFS: a subset of the receiver UEs share a PSFCH</w:t>
            </w:r>
          </w:p>
          <w:p>
            <w:pPr>
              <w:pStyle w:val="22"/>
              <w:numPr>
                <w:ilvl w:val="2"/>
                <w:numId w:val="7"/>
              </w:numPr>
              <w:overflowPunct w:val="0"/>
              <w:spacing w:before="120" w:beforeAutospacing="1" w:after="120"/>
              <w:textAlignment w:val="baseline"/>
              <w:rPr>
                <w:rFonts w:ascii="Calibri" w:hAnsi="Calibri" w:cs="Calibri"/>
                <w:sz w:val="20"/>
              </w:rPr>
            </w:pPr>
            <w:r>
              <w:rPr>
                <w:rFonts w:ascii="Calibri" w:hAnsi="Calibri" w:cs="Calibri"/>
                <w:sz w:val="20"/>
              </w:rPr>
              <w:t>FFS: all or a subset of receiver UEs share a pool of PSFCH.</w:t>
            </w:r>
          </w:p>
          <w:p>
            <w:pPr>
              <w:pStyle w:val="22"/>
              <w:numPr>
                <w:ilvl w:val="1"/>
                <w:numId w:val="7"/>
              </w:numPr>
              <w:overflowPunct w:val="0"/>
              <w:spacing w:before="120" w:beforeAutospacing="1" w:after="120"/>
              <w:textAlignment w:val="baseline"/>
              <w:rPr>
                <w:rFonts w:ascii="Calibri" w:hAnsi="Calibri" w:cs="Calibri"/>
                <w:sz w:val="20"/>
              </w:rPr>
            </w:pPr>
            <w:r>
              <w:rPr>
                <w:rFonts w:ascii="Calibri" w:hAnsi="Calibri" w:cs="Calibri"/>
                <w:sz w:val="20"/>
              </w:rPr>
              <w:t xml:space="preserve">When Option 2 is used for a groupcast transmission, it is supported </w:t>
            </w:r>
          </w:p>
          <w:p>
            <w:pPr>
              <w:pStyle w:val="22"/>
              <w:numPr>
                <w:ilvl w:val="2"/>
                <w:numId w:val="7"/>
              </w:numPr>
              <w:overflowPunct w:val="0"/>
              <w:spacing w:before="120" w:beforeAutospacing="1" w:after="120"/>
              <w:textAlignment w:val="baseline"/>
              <w:rPr>
                <w:rFonts w:ascii="Calibri" w:hAnsi="Calibri" w:cs="Calibri"/>
                <w:sz w:val="20"/>
              </w:rPr>
            </w:pPr>
            <w:r>
              <w:rPr>
                <w:rFonts w:ascii="Calibri" w:hAnsi="Calibri" w:cs="Calibri"/>
                <w:sz w:val="20"/>
              </w:rPr>
              <w:t>each receiver UE uses a separate PSFCH for HARQ ACK/NACK.</w:t>
            </w:r>
          </w:p>
          <w:p>
            <w:pPr>
              <w:pStyle w:val="22"/>
              <w:numPr>
                <w:ilvl w:val="2"/>
                <w:numId w:val="7"/>
              </w:numPr>
              <w:overflowPunct w:val="0"/>
              <w:spacing w:before="120" w:beforeAutospacing="1" w:after="120"/>
              <w:textAlignment w:val="baseline"/>
              <w:rPr>
                <w:rFonts w:ascii="Calibri" w:hAnsi="Calibri" w:cs="Calibri"/>
                <w:sz w:val="20"/>
              </w:rPr>
            </w:pPr>
            <w:r>
              <w:rPr>
                <w:rFonts w:ascii="Calibri" w:hAnsi="Calibri" w:cs="Calibri"/>
                <w:sz w:val="20"/>
              </w:rPr>
              <w:t>FFS: all or a subset of receiver UEs share a PSFCH for ACK transmission and another PSFCH for NACK transmission</w:t>
            </w:r>
          </w:p>
          <w:p>
            <w:pPr>
              <w:pStyle w:val="22"/>
              <w:numPr>
                <w:ilvl w:val="1"/>
                <w:numId w:val="7"/>
              </w:numPr>
              <w:overflowPunct w:val="0"/>
              <w:spacing w:before="120" w:beforeAutospacing="1" w:after="120"/>
              <w:textAlignment w:val="baseline"/>
              <w:rPr>
                <w:rFonts w:ascii="Calibri" w:hAnsi="Calibri" w:cs="Calibri"/>
                <w:sz w:val="20"/>
              </w:rPr>
            </w:pPr>
            <w:r>
              <w:rPr>
                <w:rFonts w:ascii="Calibri" w:hAnsi="Calibri" w:cs="Calibri"/>
                <w:sz w:val="20"/>
              </w:rPr>
              <w:t>FFS on which entity and how to allocate PSFCH resource to the receiver UE(s)</w:t>
            </w:r>
          </w:p>
          <w:p>
            <w:pPr>
              <w:pStyle w:val="22"/>
              <w:numPr>
                <w:ilvl w:val="1"/>
                <w:numId w:val="7"/>
              </w:numPr>
              <w:overflowPunct w:val="0"/>
              <w:spacing w:before="120" w:beforeAutospacing="1" w:after="120"/>
              <w:textAlignment w:val="baseline"/>
              <w:rPr>
                <w:rFonts w:ascii="Calibri" w:hAnsi="Calibri" w:cs="Calibri"/>
                <w:sz w:val="20"/>
              </w:rPr>
            </w:pPr>
            <w:r>
              <w:rPr>
                <w:rFonts w:ascii="Calibri" w:hAnsi="Calibri" w:cs="Calibri"/>
                <w:sz w:val="20"/>
              </w:rPr>
              <w:t>FFS whether or not to additionally support a mixture of option 1 and option 2 for a groupcast transmission</w:t>
            </w:r>
          </w:p>
          <w:p>
            <w:pPr>
              <w:pStyle w:val="22"/>
              <w:numPr>
                <w:ilvl w:val="0"/>
                <w:numId w:val="7"/>
              </w:numPr>
              <w:overflowPunct w:val="0"/>
              <w:spacing w:before="120" w:beforeAutospacing="1" w:after="60" w:afterLines="0"/>
              <w:textAlignment w:val="baseline"/>
              <w:rPr>
                <w:rFonts w:ascii="Calibri" w:hAnsi="Calibri" w:cs="Calibri"/>
                <w:sz w:val="20"/>
              </w:rPr>
            </w:pPr>
            <w:r>
              <w:rPr>
                <w:rFonts w:ascii="Calibri" w:hAnsi="Calibri" w:cs="Calibri"/>
                <w:sz w:val="20"/>
              </w:rPr>
              <w:t>Note: Each PSFCH is mapped to a time, frequency, and code resource.</w:t>
            </w:r>
          </w:p>
          <w:p>
            <w:pPr>
              <w:overflowPunct w:val="0"/>
              <w:autoSpaceDE w:val="0"/>
              <w:autoSpaceDN w:val="0"/>
              <w:adjustRightInd w:val="0"/>
              <w:spacing w:before="120" w:after="120"/>
              <w:textAlignment w:val="baseline"/>
              <w:rPr>
                <w:highlight w:val="darkYellow"/>
              </w:rPr>
            </w:pPr>
            <w:r>
              <w:rPr>
                <w:highlight w:val="darkYellow"/>
              </w:rPr>
              <w:t>Working assumption:</w:t>
            </w:r>
          </w:p>
          <w:p>
            <w:pPr>
              <w:pStyle w:val="22"/>
              <w:numPr>
                <w:ilvl w:val="0"/>
                <w:numId w:val="8"/>
              </w:numPr>
              <w:overflowPunct w:val="0"/>
              <w:spacing w:before="120" w:beforeAutospacing="1" w:after="60" w:afterLines="0"/>
              <w:textAlignment w:val="baseline"/>
              <w:rPr>
                <w:rFonts w:ascii="Calibri" w:hAnsi="Calibri" w:cs="Calibri"/>
                <w:sz w:val="20"/>
              </w:rPr>
            </w:pPr>
            <w:r>
              <w:rPr>
                <w:rFonts w:ascii="Calibri" w:hAnsi="Calibri" w:cs="Calibri"/>
                <w:sz w:val="20"/>
              </w:rPr>
              <w:t xml:space="preserve">Regarding the use of TX-RX </w:t>
            </w:r>
            <w:r>
              <w:rPr>
                <w:rFonts w:hint="eastAsia" w:ascii="Calibri" w:hAnsi="Calibri" w:cs="Calibri"/>
                <w:sz w:val="20"/>
                <w:lang w:eastAsia="zh-CN"/>
              </w:rPr>
              <w:t xml:space="preserve">geographical </w:t>
            </w:r>
            <w:r>
              <w:rPr>
                <w:rFonts w:ascii="Calibri" w:hAnsi="Calibri" w:cs="Calibri"/>
                <w:sz w:val="20"/>
              </w:rPr>
              <w:t>distance and/or RSRP</w:t>
            </w:r>
            <w:r>
              <w:rPr>
                <w:rFonts w:hint="eastAsia" w:ascii="Calibri" w:hAnsi="Calibri" w:cs="Calibri"/>
                <w:sz w:val="20"/>
              </w:rPr>
              <w:t xml:space="preserve"> </w:t>
            </w:r>
            <w:r>
              <w:rPr>
                <w:rFonts w:hint="eastAsia" w:ascii="Calibri" w:hAnsi="Calibri" w:cs="Calibri"/>
                <w:sz w:val="20"/>
                <w:lang w:eastAsia="zh-CN"/>
              </w:rPr>
              <w:t>in determining whether to send HARQ feedback</w:t>
            </w:r>
            <w:r>
              <w:rPr>
                <w:rFonts w:ascii="Calibri" w:hAnsi="Calibri" w:cs="Calibri"/>
                <w:sz w:val="20"/>
                <w:lang w:eastAsia="zh-CN"/>
              </w:rPr>
              <w:t xml:space="preserve"> for groupcast</w:t>
            </w:r>
          </w:p>
          <w:p>
            <w:pPr>
              <w:pStyle w:val="22"/>
              <w:numPr>
                <w:ilvl w:val="1"/>
                <w:numId w:val="8"/>
              </w:numPr>
              <w:overflowPunct w:val="0"/>
              <w:spacing w:before="120" w:beforeAutospacing="1" w:after="60" w:afterLines="0"/>
              <w:textAlignment w:val="baseline"/>
              <w:rPr>
                <w:rFonts w:ascii="Calibri" w:hAnsi="Calibri" w:cs="Calibri"/>
                <w:sz w:val="20"/>
              </w:rPr>
            </w:pPr>
            <w:r>
              <w:rPr>
                <w:rFonts w:ascii="Calibri" w:hAnsi="Calibri" w:cs="Calibri"/>
                <w:sz w:val="20"/>
                <w:lang w:eastAsia="zh-CN"/>
              </w:rPr>
              <w:t xml:space="preserve">Support at least </w:t>
            </w:r>
            <w:r>
              <w:rPr>
                <w:rFonts w:ascii="Calibri" w:hAnsi="Calibri" w:cs="Calibri"/>
                <w:sz w:val="20"/>
              </w:rPr>
              <w:t xml:space="preserve">the use of TX-RX </w:t>
            </w:r>
            <w:r>
              <w:rPr>
                <w:rFonts w:hint="eastAsia" w:ascii="Calibri" w:hAnsi="Calibri" w:cs="Calibri"/>
                <w:sz w:val="20"/>
                <w:lang w:eastAsia="zh-CN"/>
              </w:rPr>
              <w:t xml:space="preserve">geographical </w:t>
            </w:r>
            <w:r>
              <w:rPr>
                <w:rFonts w:ascii="Calibri" w:hAnsi="Calibri" w:cs="Calibri"/>
                <w:sz w:val="20"/>
              </w:rPr>
              <w:t>distance</w:t>
            </w:r>
          </w:p>
          <w:p>
            <w:pPr>
              <w:pStyle w:val="22"/>
              <w:numPr>
                <w:ilvl w:val="2"/>
                <w:numId w:val="8"/>
              </w:numPr>
              <w:overflowPunct w:val="0"/>
              <w:spacing w:before="120" w:beforeAutospacing="1" w:after="60" w:afterLines="0"/>
              <w:textAlignment w:val="baseline"/>
              <w:rPr>
                <w:rFonts w:ascii="Calibri" w:hAnsi="Calibri" w:cs="Calibri"/>
                <w:sz w:val="20"/>
              </w:rPr>
            </w:pPr>
            <w:r>
              <w:rPr>
                <w:rFonts w:ascii="Calibri" w:hAnsi="Calibri" w:cs="Calibri"/>
                <w:sz w:val="20"/>
              </w:rPr>
              <w:t xml:space="preserve">FFS whether or not to additionally use </w:t>
            </w:r>
            <w:r>
              <w:rPr>
                <w:rFonts w:hint="eastAsia" w:ascii="Calibri" w:hAnsi="Calibri" w:cs="Calibri"/>
                <w:sz w:val="20"/>
                <w:lang w:eastAsia="zh-CN"/>
              </w:rPr>
              <w:t>L1-</w:t>
            </w:r>
            <w:r>
              <w:rPr>
                <w:rFonts w:ascii="Calibri" w:hAnsi="Calibri" w:cs="Calibri"/>
                <w:sz w:val="20"/>
              </w:rPr>
              <w:t>RSRP</w:t>
            </w:r>
          </w:p>
          <w:p>
            <w:pPr>
              <w:overflowPunct w:val="0"/>
              <w:autoSpaceDE w:val="0"/>
              <w:autoSpaceDN w:val="0"/>
              <w:adjustRightInd w:val="0"/>
              <w:spacing w:before="120" w:after="120"/>
              <w:ind w:firstLine="200" w:firstLineChars="100"/>
              <w:textAlignment w:val="baseline"/>
            </w:pPr>
            <w:r>
              <w:rPr>
                <w:rFonts w:ascii="Calibri" w:hAnsi="Calibri" w:cs="Calibri"/>
                <w:sz w:val="20"/>
              </w:rPr>
              <w:t>Companies are encouraged to perform additional evaulations/analysis</w:t>
            </w:r>
          </w:p>
          <w:p>
            <w:pPr>
              <w:overflowPunct w:val="0"/>
              <w:autoSpaceDE w:val="0"/>
              <w:autoSpaceDN w:val="0"/>
              <w:adjustRightInd w:val="0"/>
              <w:spacing w:before="120" w:after="120"/>
              <w:ind w:left="1440" w:hanging="1440"/>
              <w:textAlignment w:val="baseline"/>
            </w:pPr>
            <w:r>
              <w:rPr>
                <w:highlight w:val="green"/>
              </w:rPr>
              <w:t>Agreements</w:t>
            </w:r>
            <w:r>
              <w:t>:</w:t>
            </w:r>
          </w:p>
          <w:p>
            <w:pPr>
              <w:pStyle w:val="22"/>
              <w:numPr>
                <w:ilvl w:val="0"/>
                <w:numId w:val="9"/>
              </w:numPr>
              <w:overflowPunct w:val="0"/>
              <w:spacing w:before="120" w:beforeAutospacing="1" w:after="60" w:afterLines="0"/>
              <w:textAlignment w:val="baseline"/>
              <w:rPr>
                <w:rFonts w:ascii="Calibri" w:hAnsi="Calibri" w:cs="Calibri"/>
                <w:sz w:val="20"/>
              </w:rPr>
            </w:pPr>
            <w:r>
              <w:rPr>
                <w:rFonts w:hint="eastAsia" w:ascii="Calibri" w:hAnsi="Calibri" w:cs="Calibri"/>
                <w:sz w:val="20"/>
                <w:lang w:eastAsia="zh-CN"/>
              </w:rPr>
              <w:t>It is supported</w:t>
            </w:r>
            <w:r>
              <w:rPr>
                <w:rFonts w:ascii="Calibri" w:hAnsi="Calibri" w:cs="Calibri"/>
                <w:sz w:val="20"/>
                <w:lang w:eastAsia="zh-CN"/>
              </w:rPr>
              <w:t>,</w:t>
            </w:r>
            <w:r>
              <w:rPr>
                <w:rFonts w:hint="eastAsia" w:ascii="Calibri" w:hAnsi="Calibri" w:cs="Calibri"/>
                <w:sz w:val="20"/>
                <w:lang w:eastAsia="zh-CN"/>
              </w:rPr>
              <w:t xml:space="preserve"> </w:t>
            </w:r>
            <w:r>
              <w:rPr>
                <w:rFonts w:ascii="Calibri" w:hAnsi="Calibri" w:cs="Calibri"/>
                <w:sz w:val="20"/>
                <w:lang w:eastAsia="zh-CN"/>
              </w:rPr>
              <w:t xml:space="preserve">in a resource pool, that within the slots associated with the resource pool, </w:t>
            </w:r>
            <w:r>
              <w:rPr>
                <w:rFonts w:hint="eastAsia" w:ascii="Calibri" w:hAnsi="Calibri" w:cs="Calibri"/>
                <w:sz w:val="20"/>
                <w:lang w:eastAsia="zh-CN"/>
              </w:rPr>
              <w:t xml:space="preserve">PSFCH resources </w:t>
            </w:r>
            <w:r>
              <w:rPr>
                <w:rFonts w:ascii="Calibri" w:hAnsi="Calibri" w:cs="Calibri"/>
                <w:sz w:val="20"/>
                <w:lang w:eastAsia="zh-CN"/>
              </w:rPr>
              <w:t>can be (pre)configured periodically with a period of N slot(s)</w:t>
            </w:r>
          </w:p>
          <w:p>
            <w:pPr>
              <w:pStyle w:val="22"/>
              <w:numPr>
                <w:ilvl w:val="1"/>
                <w:numId w:val="9"/>
              </w:numPr>
              <w:overflowPunct w:val="0"/>
              <w:spacing w:before="120" w:beforeAutospacing="1" w:after="60" w:afterLines="0"/>
              <w:textAlignment w:val="baseline"/>
              <w:rPr>
                <w:rFonts w:ascii="Calibri" w:hAnsi="Calibri" w:cs="Calibri"/>
                <w:sz w:val="20"/>
              </w:rPr>
            </w:pPr>
            <w:r>
              <w:rPr>
                <w:rFonts w:ascii="Calibri" w:hAnsi="Calibri" w:cs="Calibri"/>
                <w:sz w:val="20"/>
                <w:lang w:eastAsia="zh-CN"/>
              </w:rPr>
              <w:t>N is configurable, with the following values</w:t>
            </w:r>
          </w:p>
          <w:p>
            <w:pPr>
              <w:pStyle w:val="22"/>
              <w:numPr>
                <w:ilvl w:val="2"/>
                <w:numId w:val="9"/>
              </w:numPr>
              <w:overflowPunct w:val="0"/>
              <w:spacing w:before="120" w:beforeAutospacing="1" w:after="60" w:afterLines="0"/>
              <w:textAlignment w:val="baseline"/>
              <w:rPr>
                <w:rFonts w:ascii="Calibri" w:hAnsi="Calibri" w:cs="Calibri"/>
                <w:sz w:val="20"/>
              </w:rPr>
            </w:pPr>
            <w:r>
              <w:rPr>
                <w:rFonts w:ascii="Calibri" w:hAnsi="Calibri" w:cs="Calibri"/>
                <w:sz w:val="20"/>
                <w:lang w:eastAsia="zh-CN"/>
              </w:rPr>
              <w:t>1</w:t>
            </w:r>
          </w:p>
          <w:p>
            <w:pPr>
              <w:pStyle w:val="22"/>
              <w:numPr>
                <w:ilvl w:val="2"/>
                <w:numId w:val="9"/>
              </w:numPr>
              <w:overflowPunct w:val="0"/>
              <w:spacing w:before="120" w:beforeAutospacing="1" w:after="60" w:afterLines="0"/>
              <w:textAlignment w:val="baseline"/>
              <w:rPr>
                <w:rFonts w:ascii="Calibri" w:hAnsi="Calibri" w:cs="Calibri"/>
                <w:sz w:val="20"/>
              </w:rPr>
            </w:pPr>
            <w:r>
              <w:rPr>
                <w:rFonts w:ascii="Calibri" w:hAnsi="Calibri" w:cs="Calibri"/>
                <w:sz w:val="20"/>
                <w:lang w:eastAsia="zh-CN"/>
              </w:rPr>
              <w:t>At least one more value &gt;1</w:t>
            </w:r>
          </w:p>
          <w:p>
            <w:pPr>
              <w:pStyle w:val="22"/>
              <w:numPr>
                <w:ilvl w:val="3"/>
                <w:numId w:val="9"/>
              </w:numPr>
              <w:overflowPunct w:val="0"/>
              <w:spacing w:before="120" w:beforeAutospacing="1" w:after="60" w:afterLines="0"/>
              <w:textAlignment w:val="baseline"/>
              <w:rPr>
                <w:rFonts w:ascii="Calibri" w:hAnsi="Calibri" w:cs="Calibri"/>
                <w:sz w:val="20"/>
              </w:rPr>
            </w:pPr>
            <w:r>
              <w:rPr>
                <w:rFonts w:ascii="Calibri" w:hAnsi="Calibri" w:cs="Calibri"/>
                <w:sz w:val="20"/>
                <w:lang w:eastAsia="zh-CN"/>
              </w:rPr>
              <w:t>FFS details</w:t>
            </w:r>
          </w:p>
          <w:p>
            <w:pPr>
              <w:pStyle w:val="22"/>
              <w:numPr>
                <w:ilvl w:val="1"/>
                <w:numId w:val="9"/>
              </w:numPr>
              <w:overflowPunct w:val="0"/>
              <w:spacing w:before="120" w:beforeAutospacing="1" w:after="60" w:afterLines="0"/>
              <w:textAlignment w:val="baseline"/>
              <w:rPr>
                <w:rFonts w:ascii="Calibri" w:hAnsi="Calibri" w:cs="Calibri"/>
                <w:sz w:val="20"/>
              </w:rPr>
            </w:pPr>
            <w:r>
              <w:rPr>
                <w:rFonts w:ascii="Calibri" w:hAnsi="Calibri" w:cs="Calibri"/>
                <w:sz w:val="20"/>
                <w:lang w:eastAsia="zh-CN"/>
              </w:rPr>
              <w:t>The configuration should also include the possibility of no resource for PSFCH. In this case, HARQ feedback for all transmissions in the resource pool is disabled</w:t>
            </w:r>
          </w:p>
          <w:p>
            <w:pPr>
              <w:pStyle w:val="22"/>
              <w:numPr>
                <w:ilvl w:val="0"/>
                <w:numId w:val="9"/>
              </w:numPr>
              <w:overflowPunct w:val="0"/>
              <w:spacing w:before="120" w:beforeAutospacing="1" w:after="60" w:afterLines="0"/>
              <w:textAlignment w:val="baseline"/>
              <w:rPr>
                <w:rFonts w:ascii="Calibri" w:hAnsi="Calibri" w:cs="Calibri"/>
                <w:sz w:val="20"/>
              </w:rPr>
            </w:pPr>
            <w:r>
              <w:rPr>
                <w:rFonts w:ascii="Calibri" w:hAnsi="Calibri" w:cs="Calibri"/>
                <w:sz w:val="20"/>
                <w:lang w:eastAsia="zh-CN"/>
              </w:rPr>
              <w:t>HARQ feedback for transmissions in a resource pool can only be sent on PSFCH in the same resource pool</w:t>
            </w:r>
          </w:p>
          <w:p>
            <w:pPr>
              <w:pStyle w:val="22"/>
              <w:overflowPunct w:val="0"/>
              <w:spacing w:before="120" w:beforeAutospacing="1" w:after="60" w:afterLines="0"/>
              <w:textAlignment w:val="baseline"/>
              <w:rPr>
                <w:rFonts w:ascii="Calibri" w:hAnsi="Calibri" w:cs="Calibri"/>
                <w:sz w:val="20"/>
              </w:rPr>
            </w:pPr>
            <w:r>
              <w:rPr>
                <w:rFonts w:ascii="Calibri" w:hAnsi="Calibri" w:cs="Calibri"/>
                <w:sz w:val="20"/>
                <w:highlight w:val="green"/>
              </w:rPr>
              <w:t>Agreements</w:t>
            </w:r>
            <w:r>
              <w:rPr>
                <w:rFonts w:ascii="Calibri" w:hAnsi="Calibri" w:cs="Calibri"/>
                <w:sz w:val="20"/>
              </w:rPr>
              <w:t>:</w:t>
            </w:r>
          </w:p>
          <w:p>
            <w:pPr>
              <w:pStyle w:val="22"/>
              <w:numPr>
                <w:ilvl w:val="0"/>
                <w:numId w:val="10"/>
              </w:numPr>
              <w:overflowPunct w:val="0"/>
              <w:spacing w:before="120" w:beforeAutospacing="1" w:after="60" w:afterLines="0"/>
              <w:textAlignment w:val="baseline"/>
              <w:rPr>
                <w:rFonts w:ascii="Calibri" w:hAnsi="Calibri" w:cs="Calibri"/>
                <w:sz w:val="20"/>
              </w:rPr>
            </w:pPr>
            <w:r>
              <w:rPr>
                <w:rFonts w:hint="eastAsia" w:ascii="Calibri" w:hAnsi="Calibri" w:cs="Calibri"/>
                <w:sz w:val="20"/>
              </w:rPr>
              <w:t xml:space="preserve">Support </w:t>
            </w:r>
            <w:r>
              <w:rPr>
                <w:rFonts w:ascii="Calibri" w:hAnsi="Calibri" w:cs="Calibri"/>
                <w:sz w:val="20"/>
              </w:rPr>
              <w:t xml:space="preserve">at least </w:t>
            </w:r>
            <w:r>
              <w:rPr>
                <w:rFonts w:hint="eastAsia" w:ascii="Calibri" w:hAnsi="Calibri" w:cs="Calibri"/>
                <w:sz w:val="20"/>
              </w:rPr>
              <w:t>Sidelink CSI-RS for CQI/RI measurement</w:t>
            </w:r>
          </w:p>
          <w:p>
            <w:pPr>
              <w:pStyle w:val="22"/>
              <w:numPr>
                <w:ilvl w:val="1"/>
                <w:numId w:val="10"/>
              </w:numPr>
              <w:overflowPunct w:val="0"/>
              <w:spacing w:before="120" w:beforeAutospacing="1" w:after="60" w:afterLines="0"/>
              <w:textAlignment w:val="baseline"/>
              <w:rPr>
                <w:lang w:eastAsia="zh-CN"/>
              </w:rPr>
            </w:pPr>
            <w:r>
              <w:rPr>
                <w:rFonts w:ascii="Calibri" w:hAnsi="Calibri" w:cs="Calibri"/>
                <w:sz w:val="20"/>
              </w:rPr>
              <w:t>S</w:t>
            </w:r>
            <w:r>
              <w:rPr>
                <w:rFonts w:hint="eastAsia" w:ascii="Calibri" w:hAnsi="Calibri" w:cs="Calibri"/>
                <w:sz w:val="20"/>
              </w:rPr>
              <w:t xml:space="preserve">idelink CSI-RS </w:t>
            </w:r>
            <w:r>
              <w:rPr>
                <w:rFonts w:ascii="Calibri" w:hAnsi="Calibri" w:cs="Calibri"/>
                <w:sz w:val="20"/>
              </w:rPr>
              <w:t>is confined within the PSSCH transmission</w:t>
            </w:r>
          </w:p>
        </w:tc>
      </w:tr>
    </w:tbl>
    <w:p>
      <w:pPr>
        <w:spacing w:before="120" w:after="120"/>
        <w:rPr>
          <w:sz w:val="20"/>
        </w:rPr>
      </w:pPr>
      <w:r>
        <w:rPr>
          <w:rFonts w:hint="eastAsia"/>
          <w:sz w:val="20"/>
        </w:rPr>
        <w:t>In this contribution, we will further discuss these procedures, especially for the remaining FFS points.</w:t>
      </w:r>
    </w:p>
    <w:p>
      <w:pPr>
        <w:pStyle w:val="2"/>
        <w:spacing w:before="120" w:after="120"/>
        <w:ind w:left="0"/>
      </w:pPr>
      <w:r>
        <w:rPr>
          <w:rFonts w:hint="eastAsia"/>
        </w:rPr>
        <w:t xml:space="preserve">HARQ procedure </w:t>
      </w:r>
    </w:p>
    <w:p>
      <w:pPr>
        <w:pStyle w:val="3"/>
        <w:spacing w:before="120" w:after="120"/>
        <w:ind w:left="991" w:right="210" w:hanging="991" w:hangingChars="354"/>
        <w:rPr>
          <w:szCs w:val="28"/>
        </w:rPr>
      </w:pPr>
      <w:r>
        <w:rPr>
          <w:rFonts w:hint="eastAsia"/>
          <w:szCs w:val="28"/>
        </w:rPr>
        <w:t>PSFCH resource in frequency/code domain</w:t>
      </w:r>
    </w:p>
    <w:p>
      <w:pPr>
        <w:spacing w:before="120" w:after="120"/>
        <w:rPr>
          <w:sz w:val="20"/>
        </w:rPr>
      </w:pPr>
      <w:r>
        <w:rPr>
          <w:rFonts w:hint="eastAsia"/>
          <w:sz w:val="20"/>
        </w:rPr>
        <w:t xml:space="preserve">Each PSFCH is mapped to a time, frequency, and code resource, and it was agreed that the time gap between PSSCH and the associated PSFCH containing HARQ feedback is (pre-)configured and not signaled via PSCCH. Similar to the HARQ feedback timing, </w:t>
      </w:r>
      <w:r>
        <w:rPr>
          <w:rFonts w:hint="eastAsia"/>
          <w:sz w:val="20"/>
          <w:lang w:eastAsia="ko-KR"/>
        </w:rPr>
        <w:t>the SL HARQ feedback resource</w:t>
      </w:r>
      <w:r>
        <w:rPr>
          <w:rFonts w:hint="eastAsia"/>
          <w:sz w:val="20"/>
        </w:rPr>
        <w:t xml:space="preserve"> in frequency/code domain could be also determined without relying on explicit signaling in SCI, e.g., the resource in frequency/code domain is implicitly given by the associated PSSCH/PSCCH resource.</w:t>
      </w:r>
    </w:p>
    <w:p>
      <w:pPr>
        <w:pStyle w:val="16"/>
        <w:spacing w:before="120" w:after="120"/>
        <w:rPr>
          <w:lang w:val="en-US" w:eastAsia="zh-CN"/>
        </w:rPr>
      </w:pPr>
      <w:bookmarkStart w:id="1" w:name="_Toc7752721"/>
      <w:bookmarkStart w:id="2" w:name="_Toc28790"/>
      <w:bookmarkStart w:id="3" w:name="_Toc1435"/>
      <w:r>
        <w:rPr>
          <w:rFonts w:hint="eastAsia"/>
          <w:szCs w:val="22"/>
          <w:lang w:val="en-US" w:eastAsia="zh-CN"/>
        </w:rPr>
        <w:t xml:space="preserve">The </w:t>
      </w:r>
      <w:r>
        <w:rPr>
          <w:rFonts w:eastAsia="宋体"/>
          <w:lang w:val="en-US" w:eastAsia="zh-CN"/>
        </w:rPr>
        <w:t>frequency</w:t>
      </w:r>
      <w:r>
        <w:rPr>
          <w:rFonts w:hint="eastAsia" w:eastAsia="宋体"/>
          <w:lang w:val="en-US" w:eastAsia="zh-CN"/>
        </w:rPr>
        <w:t>/code</w:t>
      </w:r>
      <w:r>
        <w:rPr>
          <w:rFonts w:eastAsia="宋体"/>
          <w:lang w:val="en-US" w:eastAsia="zh-CN"/>
        </w:rPr>
        <w:t xml:space="preserve"> domain mapping</w:t>
      </w:r>
      <w:r>
        <w:rPr>
          <w:rFonts w:hint="eastAsia" w:eastAsia="宋体"/>
          <w:lang w:val="en-US" w:eastAsia="zh-CN"/>
        </w:rPr>
        <w:t xml:space="preserve"> of PSFCH containing HARQ feedback is implicitly determined by the associated PSSCH/PSCCH resource.</w:t>
      </w:r>
      <w:bookmarkEnd w:id="1"/>
      <w:bookmarkEnd w:id="2"/>
      <w:bookmarkEnd w:id="3"/>
    </w:p>
    <w:p>
      <w:pPr>
        <w:pStyle w:val="3"/>
        <w:spacing w:before="120" w:after="120"/>
        <w:ind w:left="991" w:right="210" w:hanging="991" w:hangingChars="354"/>
      </w:pPr>
      <w:r>
        <w:rPr>
          <w:rFonts w:hint="eastAsia"/>
        </w:rPr>
        <w:t>HARQ feedback for groupcast</w:t>
      </w:r>
    </w:p>
    <w:p>
      <w:pPr>
        <w:spacing w:before="120" w:after="120"/>
        <w:rPr>
          <w:sz w:val="20"/>
        </w:rPr>
      </w:pPr>
      <w:r>
        <w:rPr>
          <w:rFonts w:hint="eastAsia"/>
          <w:sz w:val="20"/>
        </w:rPr>
        <w:t xml:space="preserve">As agreed at RAN1#96bis meeting, both option 1(NACK only) and option 2(ACK/NACK) are </w:t>
      </w:r>
      <w:r>
        <w:rPr>
          <w:sz w:val="20"/>
        </w:rPr>
        <w:t>support</w:t>
      </w:r>
      <w:r>
        <w:rPr>
          <w:rFonts w:hint="eastAsia"/>
          <w:sz w:val="20"/>
        </w:rPr>
        <w:t>ed</w:t>
      </w:r>
      <w:r>
        <w:rPr>
          <w:sz w:val="20"/>
        </w:rPr>
        <w:t xml:space="preserve"> for the sidelink HARQ feedback from the receiver UEs to the transmitter UE when HARQ feedback is enabled for groupcast</w:t>
      </w:r>
      <w:r>
        <w:rPr>
          <w:rFonts w:hint="eastAsia"/>
          <w:sz w:val="20"/>
        </w:rPr>
        <w:t>. And RAN1 has not concluded the respective applicability of option 1 vs. option 2 yet. From our point of view, s</w:t>
      </w:r>
      <w:r>
        <w:rPr>
          <w:sz w:val="20"/>
        </w:rPr>
        <w:t>till,</w:t>
      </w:r>
      <w:r>
        <w:rPr>
          <w:rFonts w:hint="eastAsia"/>
          <w:sz w:val="20"/>
        </w:rPr>
        <w:t xml:space="preserve"> RAN2 is discussing whether the group management is feasible at AS layer, e.g., whether all receiver UEs in a group are visible to the Tx UE, and the feasibility of option 2 depends on the conclusion of the </w:t>
      </w:r>
      <w:r>
        <w:rPr>
          <w:sz w:val="20"/>
        </w:rPr>
        <w:t xml:space="preserve">RAN2 </w:t>
      </w:r>
      <w:r>
        <w:rPr>
          <w:rFonts w:hint="eastAsia"/>
          <w:sz w:val="20"/>
        </w:rPr>
        <w:t>discussion.</w:t>
      </w:r>
    </w:p>
    <w:p>
      <w:pPr>
        <w:pStyle w:val="17"/>
        <w:spacing w:before="120" w:after="120"/>
        <w:rPr>
          <w:lang w:val="en-US" w:eastAsia="zh-CN"/>
        </w:rPr>
      </w:pPr>
      <w:bookmarkStart w:id="4" w:name="_Toc6740"/>
      <w:bookmarkStart w:id="5" w:name="_Toc7752718"/>
      <w:bookmarkStart w:id="6" w:name="_Toc13680"/>
      <w:r>
        <w:rPr>
          <w:rFonts w:hint="eastAsia"/>
          <w:lang w:val="en-US" w:eastAsia="zh-CN"/>
        </w:rPr>
        <w:t xml:space="preserve">The feasibility of option 2 for groupcast HARQ feedback </w:t>
      </w:r>
      <w:r>
        <w:rPr>
          <w:lang w:val="en-US" w:eastAsia="zh-CN"/>
        </w:rPr>
        <w:t>d</w:t>
      </w:r>
      <w:r>
        <w:rPr>
          <w:rFonts w:hint="eastAsia"/>
          <w:lang w:val="en-US" w:eastAsia="zh-CN"/>
        </w:rPr>
        <w:t>epend</w:t>
      </w:r>
      <w:r>
        <w:rPr>
          <w:lang w:val="en-US" w:eastAsia="zh-CN"/>
        </w:rPr>
        <w:t>s</w:t>
      </w:r>
      <w:r>
        <w:rPr>
          <w:rFonts w:hint="eastAsia"/>
          <w:lang w:val="en-US" w:eastAsia="zh-CN"/>
        </w:rPr>
        <w:t xml:space="preserve"> on the conclusion of RAN2</w:t>
      </w:r>
      <w:r>
        <w:rPr>
          <w:lang w:val="en-US" w:eastAsia="zh-CN"/>
        </w:rPr>
        <w:t>’</w:t>
      </w:r>
      <w:r>
        <w:rPr>
          <w:rFonts w:hint="eastAsia"/>
          <w:lang w:val="en-US" w:eastAsia="zh-CN"/>
        </w:rPr>
        <w:t>s discussion on group management.</w:t>
      </w:r>
      <w:bookmarkEnd w:id="4"/>
      <w:bookmarkEnd w:id="5"/>
      <w:bookmarkEnd w:id="6"/>
    </w:p>
    <w:p>
      <w:pPr>
        <w:spacing w:before="120" w:after="120"/>
        <w:rPr>
          <w:sz w:val="20"/>
        </w:rPr>
      </w:pPr>
      <w:r>
        <w:rPr>
          <w:rFonts w:hint="eastAsia"/>
          <w:sz w:val="20"/>
        </w:rPr>
        <w:t>When option 1 is used for groupcast transmission, it is supported that all the receiver UEs share a same PSFCH, i.e., one to one mapping between PSSCH/PSCCH resource and its associated PSFCH resource is supported for groupcast which is similar to SL unicast transmission. To reduce the normative effort, it is expected that the same PSFCH resource mapping rule should be used for unicast and groupcast option 1. And for the remaining FFS for option 1, e.g., whether a subset of the receiver UEs share a PSFCH could be supported, from our point of view, the benefit and scenario to introduce this kind of subset/subgroup are not clear but with a lot of normative work. For instance, a new PSFCH resource mapping rule other than the rule for unicast transmission is needed if the group is divided to several subsets and each subset of receiver UEs share a PSFCH. And it is also not clear how to form these subsets of UEs of a groupcast transmission.</w:t>
      </w:r>
    </w:p>
    <w:p>
      <w:pPr>
        <w:pStyle w:val="16"/>
        <w:spacing w:before="120" w:after="120"/>
        <w:rPr>
          <w:lang w:val="en-US" w:eastAsia="zh-CN"/>
        </w:rPr>
      </w:pPr>
      <w:bookmarkStart w:id="7" w:name="_Toc7752722"/>
      <w:r>
        <w:rPr>
          <w:rFonts w:hint="eastAsia"/>
          <w:lang w:val="en-US" w:eastAsia="zh-CN"/>
        </w:rPr>
        <w:t xml:space="preserve">For NACK-only feedback in groupcast, </w:t>
      </w:r>
      <w:r>
        <w:rPr>
          <w:lang w:val="en-US" w:eastAsia="zh-CN"/>
        </w:rPr>
        <w:t xml:space="preserve">Rel-16 </w:t>
      </w:r>
      <w:r>
        <w:rPr>
          <w:rFonts w:hint="eastAsia"/>
          <w:lang w:val="en-US" w:eastAsia="zh-CN"/>
        </w:rPr>
        <w:t xml:space="preserve">only </w:t>
      </w:r>
      <w:r>
        <w:rPr>
          <w:lang w:val="en-US" w:eastAsia="zh-CN"/>
        </w:rPr>
        <w:t xml:space="preserve">supports the case where </w:t>
      </w:r>
      <w:r>
        <w:rPr>
          <w:rFonts w:hint="eastAsia"/>
          <w:lang w:val="en-US" w:eastAsia="zh-CN"/>
        </w:rPr>
        <w:t xml:space="preserve">all the receiver UEs </w:t>
      </w:r>
      <w:r>
        <w:rPr>
          <w:lang w:val="en-US" w:eastAsia="zh-CN"/>
        </w:rPr>
        <w:t xml:space="preserve">in the group </w:t>
      </w:r>
      <w:r>
        <w:rPr>
          <w:rFonts w:hint="eastAsia"/>
          <w:lang w:val="en-US" w:eastAsia="zh-CN"/>
        </w:rPr>
        <w:t>share a PSFCH resource</w:t>
      </w:r>
      <w:r>
        <w:rPr>
          <w:lang w:val="en-US" w:eastAsia="zh-CN"/>
        </w:rPr>
        <w:t xml:space="preserve">, with the same </w:t>
      </w:r>
      <w:r>
        <w:rPr>
          <w:rFonts w:hint="eastAsia"/>
          <w:lang w:val="en-US" w:eastAsia="zh-CN"/>
        </w:rPr>
        <w:t xml:space="preserve">PSFCH-to-PSSCH/PSCCH mapping rule </w:t>
      </w:r>
      <w:r>
        <w:rPr>
          <w:lang w:val="en-US" w:eastAsia="zh-CN"/>
        </w:rPr>
        <w:t>as</w:t>
      </w:r>
      <w:r>
        <w:rPr>
          <w:rFonts w:hint="eastAsia"/>
          <w:lang w:val="en-US" w:eastAsia="zh-CN"/>
        </w:rPr>
        <w:t xml:space="preserve"> for unicast.</w:t>
      </w:r>
      <w:bookmarkEnd w:id="7"/>
    </w:p>
    <w:p>
      <w:pPr>
        <w:spacing w:before="120" w:after="120"/>
        <w:rPr>
          <w:sz w:val="20"/>
        </w:rPr>
      </w:pPr>
      <w:r>
        <w:rPr>
          <w:rFonts w:hint="eastAsia"/>
          <w:sz w:val="20"/>
        </w:rPr>
        <w:t>One of the remaining FFS of</w:t>
      </w:r>
      <w:r>
        <w:rPr>
          <w:sz w:val="20"/>
        </w:rPr>
        <w:t xml:space="preserve"> option </w:t>
      </w:r>
      <w:r>
        <w:rPr>
          <w:rFonts w:hint="eastAsia"/>
          <w:sz w:val="20"/>
        </w:rPr>
        <w:t>2</w:t>
      </w:r>
      <w:r>
        <w:rPr>
          <w:sz w:val="20"/>
        </w:rPr>
        <w:t xml:space="preserve"> </w:t>
      </w:r>
      <w:r>
        <w:rPr>
          <w:rFonts w:hint="eastAsia"/>
          <w:sz w:val="20"/>
        </w:rPr>
        <w:t>is that whether</w:t>
      </w:r>
      <w:r>
        <w:rPr>
          <w:sz w:val="20"/>
        </w:rPr>
        <w:t xml:space="preserve"> all or a subset of receiver UEs share a PSFCH for ACK transmission and another PSFCH for NACK transmission</w:t>
      </w:r>
      <w:r>
        <w:rPr>
          <w:rFonts w:hint="eastAsia"/>
          <w:sz w:val="20"/>
        </w:rPr>
        <w:t xml:space="preserve"> is supported. This kind of mechanism is more like option 1, and its performance is also expected to be similar as option 1 since it only resolves the DTX issue for the scenario when all the receiver UEs can</w:t>
      </w:r>
      <w:r>
        <w:rPr>
          <w:sz w:val="20"/>
        </w:rPr>
        <w:t>’</w:t>
      </w:r>
      <w:r>
        <w:rPr>
          <w:rFonts w:hint="eastAsia"/>
          <w:sz w:val="20"/>
        </w:rPr>
        <w:t xml:space="preserve">t decode the SCI of the groupcast transmission. So this kind of mechanism is not necessary as option 1 has been supported. In our view, </w:t>
      </w:r>
      <w:r>
        <w:rPr>
          <w:sz w:val="20"/>
        </w:rPr>
        <w:t>a</w:t>
      </w:r>
      <w:r>
        <w:rPr>
          <w:rFonts w:hint="eastAsia"/>
          <w:sz w:val="20"/>
        </w:rPr>
        <w:t xml:space="preserve">lthough </w:t>
      </w:r>
      <w:r>
        <w:rPr>
          <w:sz w:val="20"/>
        </w:rPr>
        <w:t>option 2</w:t>
      </w:r>
      <w:r>
        <w:rPr>
          <w:rFonts w:hint="eastAsia"/>
          <w:sz w:val="20"/>
        </w:rPr>
        <w:t xml:space="preserve"> is more robust </w:t>
      </w:r>
      <w:r>
        <w:rPr>
          <w:sz w:val="20"/>
        </w:rPr>
        <w:t>in</w:t>
      </w:r>
      <w:r>
        <w:rPr>
          <w:rFonts w:hint="eastAsia"/>
          <w:sz w:val="20"/>
        </w:rPr>
        <w:t xml:space="preserve"> allocat</w:t>
      </w:r>
      <w:r>
        <w:rPr>
          <w:sz w:val="20"/>
        </w:rPr>
        <w:t>ing</w:t>
      </w:r>
      <w:r>
        <w:rPr>
          <w:rFonts w:hint="eastAsia"/>
          <w:sz w:val="20"/>
        </w:rPr>
        <w:t xml:space="preserve"> the PSFCH resources </w:t>
      </w:r>
      <w:r>
        <w:rPr>
          <w:sz w:val="20"/>
        </w:rPr>
        <w:t>for</w:t>
      </w:r>
      <w:r>
        <w:rPr>
          <w:rFonts w:hint="eastAsia"/>
          <w:sz w:val="20"/>
        </w:rPr>
        <w:t xml:space="preserve"> each receiver</w:t>
      </w:r>
      <w:r>
        <w:rPr>
          <w:sz w:val="20"/>
        </w:rPr>
        <w:t xml:space="preserve"> UE</w:t>
      </w:r>
      <w:r>
        <w:rPr>
          <w:rFonts w:hint="eastAsia"/>
          <w:sz w:val="20"/>
        </w:rPr>
        <w:t xml:space="preserve">, </w:t>
      </w:r>
      <w:r>
        <w:rPr>
          <w:sz w:val="20"/>
        </w:rPr>
        <w:t>it</w:t>
      </w:r>
      <w:r>
        <w:rPr>
          <w:rFonts w:hint="eastAsia"/>
          <w:sz w:val="20"/>
        </w:rPr>
        <w:t xml:space="preserve"> has more overhead than the option that</w:t>
      </w:r>
      <w:r>
        <w:rPr>
          <w:sz w:val="20"/>
        </w:rPr>
        <w:t xml:space="preserve"> multiple receiver UEs transmit HARQ-NACK on the same resource</w:t>
      </w:r>
      <w:r>
        <w:rPr>
          <w:rFonts w:hint="eastAsia"/>
          <w:sz w:val="20"/>
        </w:rPr>
        <w:t xml:space="preserve">. And it is still FFS on which entity and how to allocate dedicated PSFCH resources for each receiver, </w:t>
      </w:r>
      <w:r>
        <w:rPr>
          <w:sz w:val="20"/>
        </w:rPr>
        <w:t>which</w:t>
      </w:r>
      <w:r>
        <w:rPr>
          <w:rFonts w:hint="eastAsia"/>
          <w:sz w:val="20"/>
        </w:rPr>
        <w:t xml:space="preserve"> may require special design in the SL grant DCI format and SCI format</w:t>
      </w:r>
      <w:r>
        <w:rPr>
          <w:sz w:val="20"/>
        </w:rPr>
        <w:t>.</w:t>
      </w:r>
    </w:p>
    <w:p>
      <w:pPr>
        <w:pStyle w:val="16"/>
        <w:spacing w:before="120" w:after="120"/>
        <w:rPr>
          <w:lang w:val="en-US" w:eastAsia="zh-CN"/>
        </w:rPr>
      </w:pPr>
      <w:bookmarkStart w:id="8" w:name="_Toc7691"/>
      <w:bookmarkStart w:id="9" w:name="_Toc7752723"/>
      <w:bookmarkStart w:id="10" w:name="_Toc12296"/>
      <w:r>
        <w:rPr>
          <w:rFonts w:hint="eastAsia" w:eastAsia="宋体"/>
          <w:lang w:val="en-US" w:eastAsia="zh-CN"/>
        </w:rPr>
        <w:t xml:space="preserve">For option 2, </w:t>
      </w:r>
      <w:r>
        <w:rPr>
          <w:rFonts w:eastAsia="宋体"/>
          <w:lang w:val="en-US" w:eastAsia="zh-CN"/>
        </w:rPr>
        <w:t xml:space="preserve">it is not supported in Rel-16 that </w:t>
      </w:r>
      <w:r>
        <w:rPr>
          <w:rFonts w:hint="eastAsia" w:eastAsia="宋体"/>
          <w:lang w:val="en-US" w:eastAsia="zh-CN"/>
        </w:rPr>
        <w:t xml:space="preserve">all or a subset of receiver UEs share a PSFCH for ACK transmission and another PSFCH for NACK </w:t>
      </w:r>
      <w:r>
        <w:rPr>
          <w:rFonts w:hint="eastAsia"/>
          <w:szCs w:val="22"/>
          <w:lang w:val="en-US" w:eastAsia="zh-CN"/>
        </w:rPr>
        <w:t>transmission</w:t>
      </w:r>
      <w:r>
        <w:rPr>
          <w:rFonts w:hint="eastAsia" w:eastAsia="宋体"/>
          <w:lang w:val="en-US" w:eastAsia="zh-CN"/>
        </w:rPr>
        <w:t>.</w:t>
      </w:r>
      <w:bookmarkEnd w:id="8"/>
      <w:bookmarkEnd w:id="9"/>
      <w:bookmarkEnd w:id="10"/>
    </w:p>
    <w:p>
      <w:pPr>
        <w:spacing w:before="120" w:after="120"/>
        <w:rPr>
          <w:sz w:val="20"/>
        </w:rPr>
      </w:pPr>
      <w:r>
        <w:rPr>
          <w:sz w:val="20"/>
        </w:rPr>
        <w:t xml:space="preserve">In our view, although option 2 is more robust in allocating the PSFCH resources for each receiver UE, it has more overhead than the option that multiple receiver UEs transmit HARQ-NACK on the same resource. And </w:t>
      </w:r>
      <w:r>
        <w:rPr>
          <w:rFonts w:hint="eastAsia"/>
          <w:sz w:val="20"/>
        </w:rPr>
        <w:t xml:space="preserve">as we discussed above, for option 1, the mechanism of PSFCH resource allocation for unicast could be reused, and no explicit signaling in SCI is preferred for PSFCH resource allocation. For option2, </w:t>
      </w:r>
      <w:r>
        <w:rPr>
          <w:sz w:val="20"/>
        </w:rPr>
        <w:t xml:space="preserve">it is still </w:t>
      </w:r>
      <w:r>
        <w:rPr>
          <w:rFonts w:hint="eastAsia"/>
          <w:sz w:val="20"/>
        </w:rPr>
        <w:t>a problem</w:t>
      </w:r>
      <w:r>
        <w:rPr>
          <w:sz w:val="20"/>
        </w:rPr>
        <w:t xml:space="preserve"> on which entity and how to allocate dedicated PSFCH resources for each receiver</w:t>
      </w:r>
      <w:r>
        <w:rPr>
          <w:rFonts w:hint="eastAsia"/>
          <w:sz w:val="20"/>
        </w:rPr>
        <w:t>, this may also related to the group management discussed in RAN2, but from RAN1</w:t>
      </w:r>
      <w:r>
        <w:rPr>
          <w:sz w:val="20"/>
        </w:rPr>
        <w:t>’</w:t>
      </w:r>
      <w:r>
        <w:rPr>
          <w:rFonts w:hint="eastAsia"/>
          <w:sz w:val="20"/>
        </w:rPr>
        <w:t>s perspective, it</w:t>
      </w:r>
      <w:r>
        <w:rPr>
          <w:sz w:val="20"/>
        </w:rPr>
        <w:t>’</w:t>
      </w:r>
      <w:r>
        <w:rPr>
          <w:rFonts w:hint="eastAsia"/>
          <w:sz w:val="20"/>
        </w:rPr>
        <w:t xml:space="preserve">s better to maintain the same SCI and SL grant DCI design for option 1 and option 2, i.e., no explicit signaling in SCI and SL grant DCI for </w:t>
      </w:r>
      <w:r>
        <w:rPr>
          <w:sz w:val="20"/>
        </w:rPr>
        <w:t xml:space="preserve">PSFCH resources </w:t>
      </w:r>
      <w:r>
        <w:rPr>
          <w:rFonts w:hint="eastAsia"/>
          <w:sz w:val="20"/>
        </w:rPr>
        <w:t xml:space="preserve">allocation for option 2. </w:t>
      </w:r>
    </w:p>
    <w:p>
      <w:pPr>
        <w:pStyle w:val="16"/>
        <w:spacing w:before="120" w:after="120"/>
        <w:rPr>
          <w:lang w:val="en-US" w:eastAsia="zh-CN"/>
        </w:rPr>
      </w:pPr>
      <w:bookmarkStart w:id="11" w:name="_Toc924"/>
      <w:bookmarkStart w:id="12" w:name="_Toc5186"/>
      <w:bookmarkStart w:id="13" w:name="_Toc7752724"/>
      <w:r>
        <w:rPr>
          <w:rFonts w:hint="eastAsia" w:eastAsia="宋体"/>
          <w:lang w:val="en-US" w:eastAsia="zh-CN"/>
        </w:rPr>
        <w:t xml:space="preserve">For option 1 and option 2, </w:t>
      </w:r>
      <w:r>
        <w:rPr>
          <w:rFonts w:eastAsia="宋体"/>
          <w:lang w:val="en-US" w:eastAsia="zh-CN"/>
        </w:rPr>
        <w:t xml:space="preserve">it is </w:t>
      </w:r>
      <w:r>
        <w:rPr>
          <w:lang w:val="en-US"/>
        </w:rPr>
        <w:t>supported that</w:t>
      </w:r>
      <w:r>
        <w:rPr>
          <w:rFonts w:hint="eastAsia"/>
          <w:lang w:val="en-US" w:eastAsia="zh-CN"/>
        </w:rPr>
        <w:t xml:space="preserve"> the information for PSFCH resource(s) allocation </w:t>
      </w:r>
      <w:r>
        <w:rPr>
          <w:lang w:val="en-US"/>
        </w:rPr>
        <w:t xml:space="preserve">is not signaled </w:t>
      </w:r>
      <w:r>
        <w:rPr>
          <w:rFonts w:hint="eastAsia"/>
          <w:lang w:val="en-US" w:eastAsia="zh-CN"/>
        </w:rPr>
        <w:t>in SCI or SL grant DCI.</w:t>
      </w:r>
      <w:bookmarkEnd w:id="11"/>
      <w:bookmarkEnd w:id="12"/>
      <w:bookmarkEnd w:id="13"/>
    </w:p>
    <w:p>
      <w:pPr>
        <w:spacing w:before="120" w:after="120"/>
        <w:rPr>
          <w:sz w:val="20"/>
        </w:rPr>
      </w:pPr>
      <w:r>
        <w:rPr>
          <w:rFonts w:hint="eastAsia"/>
          <w:sz w:val="20"/>
        </w:rPr>
        <w:t xml:space="preserve">Another remaining </w:t>
      </w:r>
      <w:r>
        <w:rPr>
          <w:sz w:val="20"/>
        </w:rPr>
        <w:t xml:space="preserve">FFS </w:t>
      </w:r>
      <w:r>
        <w:rPr>
          <w:rFonts w:hint="eastAsia"/>
          <w:sz w:val="20"/>
        </w:rPr>
        <w:t xml:space="preserve">for groupcast HARQ is </w:t>
      </w:r>
      <w:r>
        <w:rPr>
          <w:sz w:val="20"/>
        </w:rPr>
        <w:t>whether or not to additionally support a mixture of option 1 and option 2 for a groupcast transmission</w:t>
      </w:r>
      <w:r>
        <w:rPr>
          <w:rFonts w:hint="eastAsia"/>
          <w:sz w:val="20"/>
        </w:rPr>
        <w:t xml:space="preserve">. From our point of view, the motivation to support a mixture of option 1 and option 2 is not clear, and the benefit is also not justified. </w:t>
      </w:r>
      <w:r>
        <w:rPr>
          <w:sz w:val="20"/>
        </w:rPr>
        <w:t>So</w:t>
      </w:r>
      <w:r>
        <w:rPr>
          <w:rFonts w:hint="eastAsia"/>
          <w:sz w:val="20"/>
        </w:rPr>
        <w:t xml:space="preserve"> we proposal either option 1 or option 2 is used for a groupcast transmission if both option 1 and option were specified.</w:t>
      </w:r>
    </w:p>
    <w:p>
      <w:pPr>
        <w:pStyle w:val="16"/>
        <w:spacing w:before="120" w:after="120"/>
        <w:rPr>
          <w:lang w:val="en-US" w:eastAsia="zh-CN"/>
        </w:rPr>
      </w:pPr>
      <w:bookmarkStart w:id="14" w:name="_Toc18597"/>
      <w:bookmarkStart w:id="15" w:name="_Toc1815"/>
      <w:bookmarkStart w:id="16" w:name="_Toc7752725"/>
      <w:r>
        <w:rPr>
          <w:lang w:val="en-US" w:eastAsia="zh-CN"/>
        </w:rPr>
        <w:t>A groupcast with HARQ feedback enabled does not use both option 1 and option 2 at the same time</w:t>
      </w:r>
      <w:r>
        <w:rPr>
          <w:rFonts w:hint="eastAsia"/>
          <w:lang w:val="en-US" w:eastAsia="zh-CN"/>
        </w:rPr>
        <w:t>.</w:t>
      </w:r>
      <w:bookmarkEnd w:id="14"/>
      <w:bookmarkEnd w:id="15"/>
      <w:bookmarkEnd w:id="16"/>
    </w:p>
    <w:p>
      <w:pPr>
        <w:snapToGrid w:val="0"/>
        <w:spacing w:before="120" w:after="120"/>
        <w:rPr>
          <w:sz w:val="20"/>
        </w:rPr>
      </w:pPr>
      <w:r>
        <w:rPr>
          <w:rFonts w:hint="eastAsia"/>
          <w:sz w:val="20"/>
        </w:rPr>
        <w:t xml:space="preserve">SI </w:t>
      </w:r>
      <w:r>
        <w:rPr>
          <w:sz w:val="20"/>
        </w:rPr>
        <w:t>concludes to support</w:t>
      </w:r>
      <w:r>
        <w:rPr>
          <w:rFonts w:hint="eastAsia"/>
          <w:sz w:val="20"/>
        </w:rPr>
        <w:t xml:space="preserve"> </w:t>
      </w:r>
      <w:r>
        <w:rPr>
          <w:sz w:val="20"/>
        </w:rPr>
        <w:t xml:space="preserve">the </w:t>
      </w:r>
      <w:r>
        <w:rPr>
          <w:rFonts w:hint="eastAsia"/>
          <w:sz w:val="20"/>
        </w:rPr>
        <w:t xml:space="preserve">Tx-Rx distance and/or RSRP based SL HARQ feedback for groupcast and one WA is achieved for this. As the outcome of the SI, this feature could be disabled/enabled. From our point of view, </w:t>
      </w:r>
      <w:r>
        <w:rPr>
          <w:sz w:val="20"/>
        </w:rPr>
        <w:t>in the</w:t>
      </w:r>
      <w:r>
        <w:rPr>
          <w:rFonts w:hint="eastAsia"/>
          <w:sz w:val="20"/>
        </w:rPr>
        <w:t xml:space="preserve"> scenarios </w:t>
      </w:r>
      <w:r>
        <w:rPr>
          <w:sz w:val="20"/>
        </w:rPr>
        <w:t>where</w:t>
      </w:r>
      <w:r>
        <w:rPr>
          <w:rFonts w:hint="eastAsia"/>
          <w:sz w:val="20"/>
        </w:rPr>
        <w:t xml:space="preserve"> </w:t>
      </w:r>
      <w:r>
        <w:rPr>
          <w:sz w:val="20"/>
        </w:rPr>
        <w:t>application</w:t>
      </w:r>
      <w:r>
        <w:rPr>
          <w:rFonts w:hint="eastAsia"/>
          <w:sz w:val="20"/>
        </w:rPr>
        <w:t xml:space="preserve"> layer</w:t>
      </w:r>
      <w:r>
        <w:rPr>
          <w:sz w:val="20"/>
        </w:rPr>
        <w:t xml:space="preserve"> forms </w:t>
      </w:r>
      <w:r>
        <w:rPr>
          <w:rFonts w:hint="eastAsia"/>
          <w:sz w:val="20"/>
        </w:rPr>
        <w:t>a</w:t>
      </w:r>
      <w:r>
        <w:rPr>
          <w:sz w:val="20"/>
        </w:rPr>
        <w:t xml:space="preserve"> group</w:t>
      </w:r>
      <w:r>
        <w:rPr>
          <w:rFonts w:hint="eastAsia"/>
          <w:sz w:val="20"/>
        </w:rPr>
        <w:t xml:space="preserve">, e.g., platooning, Tx-Rx distance/RSRP based SL HARQ feedback for groupcast is neither necessary nor intended and should be disabled for these scenarios. </w:t>
      </w:r>
    </w:p>
    <w:p>
      <w:pPr>
        <w:pStyle w:val="19"/>
        <w:numPr>
          <w:ilvl w:val="0"/>
          <w:numId w:val="11"/>
        </w:numPr>
        <w:snapToGrid w:val="0"/>
        <w:spacing w:before="120" w:after="120"/>
        <w:rPr>
          <w:sz w:val="20"/>
          <w:szCs w:val="20"/>
        </w:rPr>
      </w:pPr>
      <w:r>
        <w:rPr>
          <w:sz w:val="20"/>
          <w:szCs w:val="20"/>
        </w:rPr>
        <w:t>Given the fact that the UE is able to establish</w:t>
      </w:r>
      <w:r>
        <w:rPr>
          <w:rFonts w:hint="eastAsia"/>
          <w:sz w:val="20"/>
          <w:szCs w:val="20"/>
        </w:rPr>
        <w:t xml:space="preserve"> </w:t>
      </w:r>
      <w:r>
        <w:rPr>
          <w:sz w:val="20"/>
          <w:szCs w:val="20"/>
        </w:rPr>
        <w:t>groupcast session</w:t>
      </w:r>
      <w:r>
        <w:rPr>
          <w:rFonts w:hint="eastAsia"/>
          <w:sz w:val="20"/>
          <w:szCs w:val="20"/>
        </w:rPr>
        <w:t xml:space="preserve"> with other group members</w:t>
      </w:r>
      <w:r>
        <w:rPr>
          <w:sz w:val="20"/>
          <w:szCs w:val="20"/>
        </w:rPr>
        <w:t xml:space="preserve"> </w:t>
      </w:r>
      <w:r>
        <w:rPr>
          <w:rFonts w:hint="eastAsia"/>
          <w:sz w:val="20"/>
          <w:szCs w:val="20"/>
        </w:rPr>
        <w:t xml:space="preserve">at application layer for platooning, </w:t>
      </w:r>
      <w:r>
        <w:rPr>
          <w:sz w:val="20"/>
          <w:szCs w:val="20"/>
        </w:rPr>
        <w:t xml:space="preserve">it is a bit strange to set up </w:t>
      </w:r>
      <w:r>
        <w:rPr>
          <w:rFonts w:hint="eastAsia"/>
          <w:sz w:val="20"/>
          <w:szCs w:val="20"/>
        </w:rPr>
        <w:t xml:space="preserve">distance/RSRP based </w:t>
      </w:r>
      <w:r>
        <w:rPr>
          <w:sz w:val="20"/>
          <w:szCs w:val="20"/>
        </w:rPr>
        <w:t xml:space="preserve">control upon </w:t>
      </w:r>
      <w:r>
        <w:rPr>
          <w:rFonts w:hint="eastAsia"/>
          <w:sz w:val="20"/>
          <w:szCs w:val="20"/>
        </w:rPr>
        <w:t xml:space="preserve">SL HARQ feedback </w:t>
      </w:r>
      <w:r>
        <w:rPr>
          <w:sz w:val="20"/>
          <w:szCs w:val="20"/>
        </w:rPr>
        <w:t xml:space="preserve">which eventually does not guarantee the communication reliability between UEs. This </w:t>
      </w:r>
      <w:r>
        <w:rPr>
          <w:rFonts w:hint="eastAsia"/>
          <w:sz w:val="20"/>
          <w:szCs w:val="20"/>
        </w:rPr>
        <w:t>is not an intended behavior</w:t>
      </w:r>
      <w:r>
        <w:rPr>
          <w:sz w:val="20"/>
          <w:szCs w:val="20"/>
        </w:rPr>
        <w:t xml:space="preserve"> in certain scenarios</w:t>
      </w:r>
      <w:r>
        <w:rPr>
          <w:rFonts w:hint="eastAsia"/>
          <w:sz w:val="20"/>
          <w:szCs w:val="20"/>
        </w:rPr>
        <w:t xml:space="preserve">. </w:t>
      </w:r>
    </w:p>
    <w:p>
      <w:pPr>
        <w:pStyle w:val="19"/>
        <w:numPr>
          <w:ilvl w:val="0"/>
          <w:numId w:val="11"/>
        </w:numPr>
        <w:snapToGrid w:val="0"/>
        <w:spacing w:before="120" w:after="120"/>
        <w:rPr>
          <w:sz w:val="20"/>
          <w:szCs w:val="20"/>
        </w:rPr>
      </w:pPr>
      <w:r>
        <w:rPr>
          <w:sz w:val="20"/>
          <w:szCs w:val="20"/>
        </w:rPr>
        <w:t xml:space="preserve">The </w:t>
      </w:r>
      <w:r>
        <w:rPr>
          <w:rFonts w:hint="eastAsia"/>
          <w:sz w:val="20"/>
          <w:szCs w:val="20"/>
        </w:rPr>
        <w:t xml:space="preserve">communication range could be considered in application layer during forming a platoon group, i.e., only UEs within a range could form a platoon. </w:t>
      </w:r>
      <w:r>
        <w:rPr>
          <w:sz w:val="20"/>
          <w:szCs w:val="20"/>
        </w:rPr>
        <w:t>F</w:t>
      </w:r>
      <w:r>
        <w:rPr>
          <w:rFonts w:hint="eastAsia"/>
          <w:sz w:val="20"/>
          <w:szCs w:val="20"/>
        </w:rPr>
        <w:t xml:space="preserve">rom AS layer point of view, the requirement of communication range could be considered at the </w:t>
      </w:r>
      <w:r>
        <w:rPr>
          <w:sz w:val="20"/>
          <w:szCs w:val="20"/>
        </w:rPr>
        <w:t>transmitter</w:t>
      </w:r>
      <w:r>
        <w:rPr>
          <w:rFonts w:hint="eastAsia"/>
          <w:sz w:val="20"/>
          <w:szCs w:val="20"/>
        </w:rPr>
        <w:t xml:space="preserve"> side instead of the receiver side</w:t>
      </w:r>
      <w:r>
        <w:rPr>
          <w:sz w:val="20"/>
          <w:szCs w:val="20"/>
        </w:rPr>
        <w:t>,</w:t>
      </w:r>
      <w:r>
        <w:rPr>
          <w:rFonts w:hint="eastAsia"/>
          <w:sz w:val="20"/>
          <w:szCs w:val="20"/>
        </w:rPr>
        <w:t xml:space="preserve"> </w:t>
      </w:r>
      <w:r>
        <w:rPr>
          <w:sz w:val="20"/>
          <w:szCs w:val="20"/>
        </w:rPr>
        <w:t>e</w:t>
      </w:r>
      <w:r>
        <w:rPr>
          <w:rFonts w:hint="eastAsia"/>
          <w:sz w:val="20"/>
          <w:szCs w:val="20"/>
        </w:rPr>
        <w:t xml:space="preserve">.g., </w:t>
      </w:r>
      <w:r>
        <w:rPr>
          <w:sz w:val="20"/>
          <w:szCs w:val="20"/>
        </w:rPr>
        <w:t xml:space="preserve">the size of the platoon can differ even on the move, and resource-efficient distribution of messages for platooning and dynamic control of the distribution </w:t>
      </w:r>
      <w:r>
        <w:rPr>
          <w:rFonts w:hint="eastAsia"/>
          <w:sz w:val="20"/>
          <w:szCs w:val="20"/>
        </w:rPr>
        <w:t>range</w:t>
      </w:r>
      <w:r>
        <w:rPr>
          <w:sz w:val="20"/>
          <w:szCs w:val="20"/>
        </w:rPr>
        <w:t xml:space="preserve"> of the messages should be </w:t>
      </w:r>
      <w:r>
        <w:rPr>
          <w:rFonts w:hint="eastAsia"/>
          <w:sz w:val="20"/>
          <w:szCs w:val="20"/>
        </w:rPr>
        <w:t>considered</w:t>
      </w:r>
      <w:r>
        <w:rPr>
          <w:sz w:val="20"/>
          <w:szCs w:val="20"/>
        </w:rPr>
        <w:t>.</w:t>
      </w:r>
      <w:r>
        <w:rPr>
          <w:rFonts w:hint="eastAsia"/>
          <w:sz w:val="20"/>
          <w:szCs w:val="20"/>
        </w:rPr>
        <w:t xml:space="preserve"> </w:t>
      </w:r>
      <w:r>
        <w:rPr>
          <w:sz w:val="20"/>
          <w:szCs w:val="20"/>
        </w:rPr>
        <w:t>The control of group size</w:t>
      </w:r>
      <w:r>
        <w:rPr>
          <w:rFonts w:hint="eastAsia"/>
          <w:sz w:val="20"/>
          <w:szCs w:val="20"/>
        </w:rPr>
        <w:t xml:space="preserve"> could be done via Tx UE Tx power control bas</w:t>
      </w:r>
      <w:r>
        <w:rPr>
          <w:sz w:val="20"/>
          <w:szCs w:val="20"/>
        </w:rPr>
        <w:t>ed</w:t>
      </w:r>
      <w:r>
        <w:rPr>
          <w:rFonts w:hint="eastAsia"/>
          <w:sz w:val="20"/>
          <w:szCs w:val="20"/>
        </w:rPr>
        <w:t xml:space="preserve"> on the required communication range. </w:t>
      </w:r>
      <w:r>
        <w:rPr>
          <w:sz w:val="20"/>
          <w:szCs w:val="20"/>
        </w:rPr>
        <w:t>In summary</w:t>
      </w:r>
      <w:r>
        <w:rPr>
          <w:rFonts w:hint="eastAsia"/>
          <w:sz w:val="20"/>
          <w:szCs w:val="20"/>
        </w:rPr>
        <w:t xml:space="preserve">, the requirement of communication range could be also considered at application layer, and at Tx side </w:t>
      </w:r>
      <w:r>
        <w:rPr>
          <w:sz w:val="20"/>
          <w:szCs w:val="20"/>
        </w:rPr>
        <w:t>on</w:t>
      </w:r>
      <w:r>
        <w:rPr>
          <w:rFonts w:hint="eastAsia"/>
          <w:sz w:val="20"/>
          <w:szCs w:val="20"/>
        </w:rPr>
        <w:t xml:space="preserve"> the AS layer. From this point of view, distance/RSRP based SL HARQ feedback at the receiver side in physical layer is not necessary for platooning.</w:t>
      </w:r>
    </w:p>
    <w:p>
      <w:pPr>
        <w:pStyle w:val="17"/>
        <w:spacing w:before="120" w:after="120"/>
        <w:rPr>
          <w:lang w:val="en-US" w:eastAsia="zh-CN"/>
        </w:rPr>
      </w:pPr>
      <w:bookmarkStart w:id="17" w:name="_Toc7752719"/>
      <w:bookmarkStart w:id="18" w:name="_Toc30457"/>
      <w:bookmarkStart w:id="19" w:name="_Toc5117"/>
      <w:r>
        <w:rPr>
          <w:rFonts w:hint="eastAsia"/>
          <w:szCs w:val="22"/>
          <w:lang w:val="en-US" w:eastAsia="zh-CN"/>
        </w:rPr>
        <w:t xml:space="preserve">For </w:t>
      </w:r>
      <w:r>
        <w:rPr>
          <w:rFonts w:hint="eastAsia" w:eastAsia="宋体"/>
          <w:lang w:val="en-US" w:eastAsia="zh-CN"/>
        </w:rPr>
        <w:t>groupcast with application layer session formation</w:t>
      </w:r>
      <w:r>
        <w:rPr>
          <w:rFonts w:eastAsia="宋体"/>
          <w:lang w:val="en-US" w:eastAsia="zh-CN"/>
        </w:rPr>
        <w:t xml:space="preserve"> </w:t>
      </w:r>
      <w:r>
        <w:rPr>
          <w:rFonts w:hint="eastAsia" w:eastAsia="宋体"/>
          <w:lang w:val="en-US" w:eastAsia="zh-CN"/>
        </w:rPr>
        <w:t xml:space="preserve">(e.g., platooning), </w:t>
      </w:r>
      <w:r>
        <w:rPr>
          <w:rFonts w:eastAsia="宋体"/>
          <w:lang w:val="en-US" w:eastAsia="zh-CN"/>
        </w:rPr>
        <w:t xml:space="preserve">the HARQ feedback control based on </w:t>
      </w:r>
      <w:r>
        <w:rPr>
          <w:rFonts w:hint="eastAsia" w:eastAsia="宋体"/>
          <w:lang w:val="en-US" w:eastAsia="zh-CN"/>
        </w:rPr>
        <w:t>T</w:t>
      </w:r>
      <w:r>
        <w:rPr>
          <w:rFonts w:eastAsia="宋体"/>
          <w:lang w:val="en-US" w:eastAsia="zh-CN"/>
        </w:rPr>
        <w:t>x</w:t>
      </w:r>
      <w:r>
        <w:rPr>
          <w:rFonts w:hint="eastAsia" w:eastAsia="宋体"/>
          <w:lang w:val="en-US" w:eastAsia="zh-CN"/>
        </w:rPr>
        <w:t>-R</w:t>
      </w:r>
      <w:r>
        <w:rPr>
          <w:rFonts w:eastAsia="宋体"/>
          <w:lang w:val="en-US" w:eastAsia="zh-CN"/>
        </w:rPr>
        <w:t>x</w:t>
      </w:r>
      <w:r>
        <w:rPr>
          <w:rFonts w:hint="eastAsia" w:eastAsia="宋体"/>
          <w:lang w:val="en-US" w:eastAsia="zh-CN"/>
        </w:rPr>
        <w:t xml:space="preserve"> distance </w:t>
      </w:r>
      <w:r>
        <w:rPr>
          <w:rFonts w:hint="eastAsia"/>
        </w:rPr>
        <w:t>is neither necessary nor intended</w:t>
      </w:r>
      <w:r>
        <w:rPr>
          <w:rFonts w:hint="eastAsia" w:eastAsia="宋体"/>
          <w:lang w:val="en-US" w:eastAsia="zh-CN"/>
        </w:rPr>
        <w:t>.</w:t>
      </w:r>
      <w:bookmarkEnd w:id="17"/>
      <w:bookmarkEnd w:id="18"/>
      <w:bookmarkEnd w:id="19"/>
      <w:r>
        <w:rPr>
          <w:rFonts w:hint="eastAsia" w:eastAsia="宋体"/>
          <w:lang w:val="en-US" w:eastAsia="zh-CN"/>
        </w:rPr>
        <w:t xml:space="preserve"> </w:t>
      </w:r>
    </w:p>
    <w:p>
      <w:pPr>
        <w:spacing w:before="120" w:after="120"/>
        <w:rPr>
          <w:sz w:val="20"/>
        </w:rPr>
      </w:pPr>
      <w:r>
        <w:rPr>
          <w:rFonts w:hint="eastAsia"/>
          <w:sz w:val="20"/>
        </w:rPr>
        <w:t xml:space="preserve">As agreed at RAN1#96bis meeting, option 2(ACK/NACK) is </w:t>
      </w:r>
      <w:r>
        <w:rPr>
          <w:sz w:val="20"/>
        </w:rPr>
        <w:t>support</w:t>
      </w:r>
      <w:r>
        <w:rPr>
          <w:rFonts w:hint="eastAsia"/>
          <w:sz w:val="20"/>
        </w:rPr>
        <w:t>ed</w:t>
      </w:r>
      <w:r>
        <w:rPr>
          <w:sz w:val="20"/>
        </w:rPr>
        <w:t xml:space="preserve"> for the sidelink HARQ feedback</w:t>
      </w:r>
      <w:r>
        <w:rPr>
          <w:rFonts w:hint="eastAsia"/>
          <w:sz w:val="20"/>
        </w:rPr>
        <w:t xml:space="preserve"> of</w:t>
      </w:r>
      <w:r>
        <w:rPr>
          <w:sz w:val="20"/>
        </w:rPr>
        <w:t xml:space="preserve"> groupcast</w:t>
      </w:r>
      <w:r>
        <w:rPr>
          <w:rFonts w:hint="eastAsia"/>
          <w:sz w:val="20"/>
        </w:rPr>
        <w:t xml:space="preserve"> transmission. For this option, group management is needed at AS layer in addition to the application layer group formation, and each receiver UE will use a separate PSFCH for HARQ ACK/NACK, as we discussed above, for session-based groupcast transmission, HARQ feedback control based on Tx-Rx distance and/or RSRP is neither necessary nor intended.</w:t>
      </w:r>
    </w:p>
    <w:p>
      <w:pPr>
        <w:pStyle w:val="16"/>
        <w:spacing w:before="120" w:after="120"/>
        <w:rPr>
          <w:szCs w:val="22"/>
          <w:lang w:val="en-US" w:eastAsia="zh-CN"/>
        </w:rPr>
      </w:pPr>
      <w:bookmarkStart w:id="20" w:name="_Toc29882"/>
      <w:bookmarkStart w:id="21" w:name="_Toc7752726"/>
      <w:r>
        <w:rPr>
          <w:rFonts w:hint="eastAsia"/>
          <w:szCs w:val="22"/>
          <w:lang w:val="en-US" w:eastAsia="zh-CN"/>
        </w:rPr>
        <w:t>T</w:t>
      </w:r>
      <w:r>
        <w:rPr>
          <w:szCs w:val="22"/>
          <w:lang w:val="en-US" w:eastAsia="zh-CN"/>
        </w:rPr>
        <w:t xml:space="preserve">he groupcast HARQ feedback control based on </w:t>
      </w:r>
      <w:r>
        <w:rPr>
          <w:rFonts w:hint="eastAsia"/>
          <w:szCs w:val="22"/>
          <w:lang w:val="en-US" w:eastAsia="zh-CN"/>
        </w:rPr>
        <w:t>T</w:t>
      </w:r>
      <w:r>
        <w:rPr>
          <w:szCs w:val="22"/>
          <w:lang w:val="en-US" w:eastAsia="zh-CN"/>
        </w:rPr>
        <w:t>x</w:t>
      </w:r>
      <w:r>
        <w:rPr>
          <w:rFonts w:hint="eastAsia"/>
          <w:szCs w:val="22"/>
          <w:lang w:val="en-US" w:eastAsia="zh-CN"/>
        </w:rPr>
        <w:t>-R</w:t>
      </w:r>
      <w:r>
        <w:rPr>
          <w:szCs w:val="22"/>
          <w:lang w:val="en-US" w:eastAsia="zh-CN"/>
        </w:rPr>
        <w:t>x</w:t>
      </w:r>
      <w:r>
        <w:rPr>
          <w:rFonts w:hint="eastAsia"/>
          <w:szCs w:val="22"/>
          <w:lang w:val="en-US" w:eastAsia="zh-CN"/>
        </w:rPr>
        <w:t xml:space="preserve"> distance is only applied to </w:t>
      </w:r>
      <w:r>
        <w:rPr>
          <w:szCs w:val="22"/>
          <w:lang w:val="en-US" w:eastAsia="zh-CN"/>
        </w:rPr>
        <w:t>NACK-only HARQ</w:t>
      </w:r>
      <w:r>
        <w:rPr>
          <w:rFonts w:hint="eastAsia"/>
          <w:szCs w:val="22"/>
          <w:lang w:val="en-US" w:eastAsia="zh-CN"/>
        </w:rPr>
        <w:t xml:space="preserve"> feedback.</w:t>
      </w:r>
      <w:bookmarkEnd w:id="20"/>
      <w:bookmarkEnd w:id="21"/>
    </w:p>
    <w:p>
      <w:pPr>
        <w:pStyle w:val="3"/>
        <w:spacing w:before="120" w:after="120"/>
        <w:ind w:left="991" w:right="210" w:hanging="991" w:hangingChars="354"/>
      </w:pPr>
      <w:r>
        <w:rPr>
          <w:rFonts w:hint="eastAsia"/>
        </w:rPr>
        <w:t>HARQ combination and layer 1 IDs</w:t>
      </w:r>
    </w:p>
    <w:p>
      <w:pPr>
        <w:snapToGrid w:val="0"/>
        <w:spacing w:before="120" w:after="120"/>
        <w:rPr>
          <w:sz w:val="20"/>
        </w:rPr>
      </w:pPr>
      <w:r>
        <w:rPr>
          <w:rFonts w:hint="eastAsia"/>
          <w:sz w:val="20"/>
        </w:rPr>
        <w:t xml:space="preserve">As an outcome of the study, both layer-1 destination </w:t>
      </w:r>
      <w:r>
        <w:rPr>
          <w:sz w:val="20"/>
        </w:rPr>
        <w:t xml:space="preserve">ID </w:t>
      </w:r>
      <w:r>
        <w:rPr>
          <w:rFonts w:hint="eastAsia"/>
          <w:sz w:val="20"/>
        </w:rPr>
        <w:t xml:space="preserve">and layer-1 source ID could be conveyed in SCI. </w:t>
      </w:r>
      <w:r>
        <w:rPr>
          <w:sz w:val="20"/>
        </w:rPr>
        <w:t xml:space="preserve">Meanwhile, </w:t>
      </w:r>
      <w:r>
        <w:rPr>
          <w:rFonts w:hint="eastAsia"/>
          <w:sz w:val="20"/>
        </w:rPr>
        <w:t>RAN2 assumes that destination ID and source ID are provide</w:t>
      </w:r>
      <w:r>
        <w:rPr>
          <w:sz w:val="20"/>
        </w:rPr>
        <w:t>d</w:t>
      </w:r>
      <w:r>
        <w:rPr>
          <w:rFonts w:hint="eastAsia"/>
          <w:sz w:val="20"/>
        </w:rPr>
        <w:t xml:space="preserve"> by upper layer and </w:t>
      </w:r>
      <w:r>
        <w:rPr>
          <w:sz w:val="20"/>
        </w:rPr>
        <w:t>visible to</w:t>
      </w:r>
      <w:r>
        <w:rPr>
          <w:rFonts w:hint="eastAsia"/>
          <w:sz w:val="20"/>
        </w:rPr>
        <w:t xml:space="preserve"> Layer 2. This is similar to LTE D2D/V2X, </w:t>
      </w:r>
      <w:r>
        <w:rPr>
          <w:sz w:val="20"/>
        </w:rPr>
        <w:t xml:space="preserve">where </w:t>
      </w:r>
      <w:r>
        <w:rPr>
          <w:rFonts w:hint="eastAsia"/>
          <w:sz w:val="20"/>
        </w:rPr>
        <w:t>Layer-2 source</w:t>
      </w:r>
      <w:r>
        <w:rPr>
          <w:sz w:val="20"/>
        </w:rPr>
        <w:t>/destination</w:t>
      </w:r>
      <w:r>
        <w:rPr>
          <w:rFonts w:hint="eastAsia"/>
          <w:sz w:val="20"/>
        </w:rPr>
        <w:t xml:space="preserve"> ID</w:t>
      </w:r>
      <w:r>
        <w:rPr>
          <w:sz w:val="20"/>
        </w:rPr>
        <w:t>s</w:t>
      </w:r>
      <w:r>
        <w:rPr>
          <w:rFonts w:hint="eastAsia"/>
          <w:sz w:val="20"/>
        </w:rPr>
        <w:t xml:space="preserve"> are provided by the upper layers</w:t>
      </w:r>
      <w:r>
        <w:rPr>
          <w:sz w:val="20"/>
        </w:rPr>
        <w:t>, and</w:t>
      </w:r>
      <w:r>
        <w:rPr>
          <w:rFonts w:hint="eastAsia"/>
          <w:sz w:val="20"/>
        </w:rPr>
        <w:t xml:space="preserve"> </w:t>
      </w:r>
      <w:r>
        <w:rPr>
          <w:sz w:val="20"/>
        </w:rPr>
        <w:t>its</w:t>
      </w:r>
      <w:r>
        <w:rPr>
          <w:rFonts w:hint="eastAsia"/>
          <w:sz w:val="20"/>
        </w:rPr>
        <w:t xml:space="preserve"> 8 LSBs </w:t>
      </w:r>
      <w:r>
        <w:rPr>
          <w:sz w:val="20"/>
        </w:rPr>
        <w:t xml:space="preserve">is taken as </w:t>
      </w:r>
      <w:r>
        <w:rPr>
          <w:rFonts w:hint="eastAsia"/>
          <w:sz w:val="20"/>
        </w:rPr>
        <w:t>Layer-1 destination ID</w:t>
      </w:r>
      <w:r>
        <w:rPr>
          <w:sz w:val="20"/>
        </w:rPr>
        <w:t xml:space="preserve"> </w:t>
      </w:r>
      <w:r>
        <w:rPr>
          <w:rFonts w:hint="eastAsia"/>
          <w:sz w:val="20"/>
        </w:rPr>
        <w:t xml:space="preserve">(group ID) </w:t>
      </w:r>
      <w:r>
        <w:rPr>
          <w:sz w:val="20"/>
        </w:rPr>
        <w:t xml:space="preserve">being </w:t>
      </w:r>
      <w:r>
        <w:rPr>
          <w:rFonts w:hint="eastAsia"/>
          <w:sz w:val="20"/>
        </w:rPr>
        <w:t xml:space="preserve">included in the SCI to identify a D2D group. For NR V2X, similar mechanism could be </w:t>
      </w:r>
      <w:r>
        <w:rPr>
          <w:sz w:val="20"/>
        </w:rPr>
        <w:t>adopted</w:t>
      </w:r>
      <w:r>
        <w:rPr>
          <w:rFonts w:hint="eastAsia"/>
          <w:sz w:val="20"/>
        </w:rPr>
        <w:t xml:space="preserve">, </w:t>
      </w:r>
      <w:r>
        <w:rPr>
          <w:sz w:val="20"/>
        </w:rPr>
        <w:t>i.e</w:t>
      </w:r>
      <w:r>
        <w:rPr>
          <w:rFonts w:hint="eastAsia"/>
          <w:sz w:val="20"/>
        </w:rPr>
        <w:t xml:space="preserve">., the Layer-1 ID could be a short version of the upper layer ID. </w:t>
      </w:r>
      <w:r>
        <w:rPr>
          <w:sz w:val="20"/>
        </w:rPr>
        <w:t>One potential issue is the potential layer-1 ID collision between two or more UEs</w:t>
      </w:r>
      <w:r>
        <w:rPr>
          <w:rFonts w:hint="eastAsia"/>
          <w:sz w:val="20"/>
        </w:rPr>
        <w:t xml:space="preserve">, which may cause unintended HARQ combination or HARQ feedback </w:t>
      </w:r>
      <w:r>
        <w:rPr>
          <w:sz w:val="20"/>
        </w:rPr>
        <w:t>in</w:t>
      </w:r>
      <w:r>
        <w:rPr>
          <w:rFonts w:hint="eastAsia"/>
          <w:sz w:val="20"/>
        </w:rPr>
        <w:t xml:space="preserve"> unicast/groupcast. </w:t>
      </w:r>
      <w:r>
        <w:rPr>
          <w:sz w:val="20"/>
        </w:rPr>
        <w:t>T</w:t>
      </w:r>
      <w:r>
        <w:rPr>
          <w:rFonts w:hint="eastAsia"/>
          <w:sz w:val="20"/>
        </w:rPr>
        <w:t>his can be solved via the mechanism of upper layer ID updating as in LTE V2X/D2D.</w:t>
      </w:r>
    </w:p>
    <w:p>
      <w:pPr>
        <w:pStyle w:val="16"/>
        <w:spacing w:before="120" w:after="120"/>
        <w:rPr>
          <w:lang w:val="en-US" w:eastAsia="zh-CN"/>
        </w:rPr>
      </w:pPr>
      <w:bookmarkStart w:id="22" w:name="_Toc7752727"/>
      <w:r>
        <w:rPr>
          <w:rFonts w:hint="eastAsia" w:eastAsia="宋体"/>
          <w:lang w:val="en-US" w:eastAsia="zh-CN"/>
        </w:rPr>
        <w:t xml:space="preserve">Layer-1 destination ID and layer-1 source ID </w:t>
      </w:r>
      <w:r>
        <w:rPr>
          <w:rFonts w:eastAsia="宋体"/>
          <w:lang w:val="en-US" w:eastAsia="zh-CN"/>
        </w:rPr>
        <w:t>ar</w:t>
      </w:r>
      <w:r>
        <w:rPr>
          <w:rFonts w:hint="eastAsia" w:eastAsia="宋体"/>
          <w:lang w:val="en-US" w:eastAsia="zh-CN"/>
        </w:rPr>
        <w:t xml:space="preserve">e derived from the upper layer destination ID and source ID, e.g., </w:t>
      </w:r>
      <w:r>
        <w:rPr>
          <w:rFonts w:eastAsia="宋体"/>
          <w:lang w:val="en-US" w:eastAsia="zh-CN"/>
        </w:rPr>
        <w:t xml:space="preserve">by taking </w:t>
      </w:r>
      <w:r>
        <w:rPr>
          <w:rFonts w:hint="eastAsia" w:eastAsia="宋体"/>
          <w:lang w:val="en-US" w:eastAsia="zh-CN"/>
        </w:rPr>
        <w:t>the 8LSBs of upper layer ID</w:t>
      </w:r>
      <w:r>
        <w:rPr>
          <w:rFonts w:eastAsia="宋体"/>
          <w:lang w:val="en-US" w:eastAsia="zh-CN"/>
        </w:rPr>
        <w:t>’s</w:t>
      </w:r>
      <w:r>
        <w:rPr>
          <w:rFonts w:hint="eastAsia" w:eastAsia="宋体"/>
          <w:lang w:val="en-US" w:eastAsia="zh-CN"/>
        </w:rPr>
        <w:t>.</w:t>
      </w:r>
      <w:r>
        <w:rPr>
          <w:rFonts w:eastAsia="宋体"/>
          <w:lang w:val="en-US" w:eastAsia="zh-CN"/>
        </w:rPr>
        <w:t xml:space="preserve"> </w:t>
      </w:r>
      <w:r>
        <w:rPr>
          <w:rFonts w:hint="eastAsia"/>
          <w:lang w:val="en-US" w:eastAsia="zh-CN"/>
        </w:rPr>
        <w:t>U</w:t>
      </w:r>
      <w:r>
        <w:rPr>
          <w:rFonts w:hint="eastAsia" w:eastAsia="宋体"/>
          <w:lang w:val="en-US" w:eastAsia="zh-CN"/>
        </w:rPr>
        <w:t xml:space="preserve">pper layer ID updating mechanism as in LTE V2X is adopted to solve </w:t>
      </w:r>
      <w:r>
        <w:rPr>
          <w:rFonts w:eastAsia="宋体"/>
          <w:lang w:val="en-US" w:eastAsia="zh-CN"/>
        </w:rPr>
        <w:t xml:space="preserve">Layer-1 </w:t>
      </w:r>
      <w:r>
        <w:rPr>
          <w:rFonts w:hint="eastAsia" w:eastAsia="宋体"/>
          <w:lang w:val="en-US" w:eastAsia="zh-CN"/>
        </w:rPr>
        <w:t>ID collision issue.</w:t>
      </w:r>
      <w:bookmarkEnd w:id="22"/>
    </w:p>
    <w:p>
      <w:pPr>
        <w:snapToGrid w:val="0"/>
        <w:spacing w:before="120" w:after="120"/>
        <w:rPr>
          <w:sz w:val="20"/>
        </w:rPr>
      </w:pPr>
      <w:bookmarkStart w:id="23" w:name="_Toc939"/>
      <w:bookmarkEnd w:id="23"/>
      <w:bookmarkStart w:id="24" w:name="_Toc24792"/>
      <w:bookmarkEnd w:id="24"/>
      <w:bookmarkStart w:id="25" w:name="_Toc6764"/>
      <w:bookmarkEnd w:id="25"/>
      <w:r>
        <w:rPr>
          <w:sz w:val="20"/>
        </w:rPr>
        <w:t>Another</w:t>
      </w:r>
      <w:r>
        <w:rPr>
          <w:rFonts w:hint="eastAsia"/>
          <w:sz w:val="20"/>
        </w:rPr>
        <w:t xml:space="preserve"> question is </w:t>
      </w:r>
      <w:r>
        <w:rPr>
          <w:sz w:val="20"/>
        </w:rPr>
        <w:t xml:space="preserve">whether </w:t>
      </w:r>
      <w:r>
        <w:rPr>
          <w:rFonts w:hint="eastAsia"/>
          <w:sz w:val="20"/>
        </w:rPr>
        <w:t xml:space="preserve">some of the layer 1 IDs and HARQ information </w:t>
      </w:r>
      <w:r>
        <w:rPr>
          <w:sz w:val="20"/>
        </w:rPr>
        <w:t>may not be present</w:t>
      </w:r>
      <w:r>
        <w:rPr>
          <w:rFonts w:hint="eastAsia"/>
          <w:sz w:val="20"/>
        </w:rPr>
        <w:t xml:space="preserve"> depending on </w:t>
      </w:r>
      <w:r>
        <w:rPr>
          <w:sz w:val="20"/>
        </w:rPr>
        <w:t>cast type (</w:t>
      </w:r>
      <w:r>
        <w:rPr>
          <w:rFonts w:hint="eastAsia"/>
          <w:sz w:val="20"/>
        </w:rPr>
        <w:t>unicast, groupcast and broadcast</w:t>
      </w:r>
      <w:r>
        <w:rPr>
          <w:sz w:val="20"/>
        </w:rPr>
        <w:t>)</w:t>
      </w:r>
      <w:r>
        <w:rPr>
          <w:rFonts w:hint="eastAsia"/>
          <w:sz w:val="20"/>
        </w:rPr>
        <w:t xml:space="preserve">. For Layer-1 destination ID, it is useful for filtering the unintended packet in physical layer, and it may also be used in SCI to distinguish the cast-mode of the PSSCH, so we prefer </w:t>
      </w:r>
      <w:r>
        <w:rPr>
          <w:sz w:val="20"/>
        </w:rPr>
        <w:t xml:space="preserve">to </w:t>
      </w:r>
      <w:r>
        <w:rPr>
          <w:rFonts w:hint="eastAsia"/>
          <w:sz w:val="20"/>
        </w:rPr>
        <w:t>always include layer-1 destination ID in SCI. For the additional IDs/information, the main purpose of including HARQ process ID, RV, NDI and L1 source ID is for HARQ combination. HARQ combination is</w:t>
      </w:r>
      <w:r>
        <w:rPr>
          <w:sz w:val="20"/>
        </w:rPr>
        <w:t xml:space="preserve"> also </w:t>
      </w:r>
      <w:r>
        <w:rPr>
          <w:rFonts w:hint="eastAsia"/>
          <w:sz w:val="20"/>
        </w:rPr>
        <w:t>benefic</w:t>
      </w:r>
      <w:r>
        <w:rPr>
          <w:sz w:val="20"/>
        </w:rPr>
        <w:t>ial for broadcast transmission</w:t>
      </w:r>
      <w:r>
        <w:rPr>
          <w:rFonts w:hint="eastAsia"/>
          <w:sz w:val="20"/>
        </w:rPr>
        <w:t>, and the additional IDs/information</w:t>
      </w:r>
      <w:r>
        <w:rPr>
          <w:sz w:val="20"/>
        </w:rPr>
        <w:t xml:space="preserve"> can be included to support</w:t>
      </w:r>
      <w:r>
        <w:rPr>
          <w:rFonts w:hint="eastAsia"/>
          <w:sz w:val="20"/>
        </w:rPr>
        <w:t xml:space="preserve"> HARQ combination </w:t>
      </w:r>
      <w:r>
        <w:rPr>
          <w:sz w:val="20"/>
        </w:rPr>
        <w:t>for flexibility</w:t>
      </w:r>
      <w:r>
        <w:rPr>
          <w:rFonts w:hint="eastAsia"/>
          <w:sz w:val="20"/>
        </w:rPr>
        <w:t>, e.g., flexible broadcast retransmission time and flexible time/frequency domain relationship between the initial transmission resource and retransmission resources.</w:t>
      </w:r>
    </w:p>
    <w:p>
      <w:pPr>
        <w:pStyle w:val="16"/>
        <w:spacing w:before="120" w:after="120"/>
        <w:rPr>
          <w:lang w:val="en-US" w:eastAsia="zh-CN"/>
        </w:rPr>
      </w:pPr>
      <w:bookmarkStart w:id="26" w:name="_Toc30725"/>
      <w:bookmarkStart w:id="27" w:name="_Toc7752728"/>
      <w:bookmarkStart w:id="28" w:name="_Toc18700"/>
      <w:r>
        <w:rPr>
          <w:rFonts w:hint="eastAsia" w:eastAsia="宋体"/>
          <w:lang w:val="en-US" w:eastAsia="zh-CN"/>
        </w:rPr>
        <w:t>L1 destination ID, HARQ process ID, RV, NDI and L1 source ID are always present in SCI for broadcast, groupcast and unicast.</w:t>
      </w:r>
      <w:bookmarkEnd w:id="26"/>
      <w:bookmarkEnd w:id="27"/>
      <w:bookmarkEnd w:id="28"/>
    </w:p>
    <w:p>
      <w:pPr>
        <w:pStyle w:val="3"/>
        <w:spacing w:before="120" w:after="120"/>
        <w:ind w:left="991" w:right="210" w:hanging="991" w:hangingChars="354"/>
      </w:pPr>
      <w:r>
        <w:rPr>
          <w:rFonts w:hint="eastAsia"/>
        </w:rPr>
        <w:t>CBG based feedback</w:t>
      </w:r>
    </w:p>
    <w:p>
      <w:pPr>
        <w:overflowPunct w:val="0"/>
        <w:autoSpaceDE w:val="0"/>
        <w:autoSpaceDN w:val="0"/>
        <w:adjustRightInd w:val="0"/>
        <w:snapToGrid w:val="0"/>
        <w:spacing w:before="120" w:after="120"/>
        <w:textAlignment w:val="baseline"/>
        <w:rPr>
          <w:kern w:val="0"/>
          <w:sz w:val="20"/>
        </w:rPr>
      </w:pPr>
      <w:r>
        <w:rPr>
          <w:rFonts w:hint="eastAsia"/>
          <w:kern w:val="0"/>
          <w:sz w:val="20"/>
        </w:rPr>
        <w:t>CBG based HARQ feedback is discussed during the SI, and t</w:t>
      </w:r>
      <w:r>
        <w:rPr>
          <w:rFonts w:eastAsia="Times New Roman"/>
          <w:kern w:val="0"/>
          <w:sz w:val="20"/>
          <w:lang w:val="en-GB" w:eastAsia="en-US"/>
        </w:rPr>
        <w:t>here is no consensus in supporting</w:t>
      </w:r>
      <w:r>
        <w:rPr>
          <w:rFonts w:hint="eastAsia"/>
          <w:kern w:val="0"/>
          <w:sz w:val="20"/>
        </w:rPr>
        <w:t xml:space="preserve"> this feature for sidelink unicast/groupcast. Basing on the following reasons, we prefer not to consider CBG based HARQ in release 16.</w:t>
      </w:r>
    </w:p>
    <w:p>
      <w:pPr>
        <w:pStyle w:val="19"/>
        <w:numPr>
          <w:ilvl w:val="0"/>
          <w:numId w:val="12"/>
        </w:numPr>
        <w:spacing w:before="120" w:after="120"/>
        <w:rPr>
          <w:rFonts w:eastAsia="宋体"/>
          <w:sz w:val="20"/>
          <w:szCs w:val="20"/>
        </w:rPr>
      </w:pPr>
      <w:r>
        <w:rPr>
          <w:rFonts w:hint="eastAsia" w:eastAsia="宋体"/>
          <w:sz w:val="20"/>
          <w:szCs w:val="20"/>
        </w:rPr>
        <w:t>As agreed in SI, an in-coverage mode 1 UE can only report an indication to gNB to indicate the need for retransmission of a TB, i.e., CBG based retransmission is not supported for mode 1.</w:t>
      </w:r>
    </w:p>
    <w:p>
      <w:pPr>
        <w:pStyle w:val="19"/>
        <w:numPr>
          <w:ilvl w:val="0"/>
          <w:numId w:val="12"/>
        </w:numPr>
        <w:spacing w:before="120" w:after="120"/>
        <w:rPr>
          <w:rFonts w:eastAsia="宋体"/>
          <w:sz w:val="20"/>
          <w:szCs w:val="20"/>
        </w:rPr>
      </w:pPr>
      <w:r>
        <w:rPr>
          <w:rFonts w:hint="eastAsia" w:eastAsia="宋体"/>
          <w:sz w:val="20"/>
          <w:szCs w:val="20"/>
        </w:rPr>
        <w:t>The benefit of supporting CBG based HARQ operation has not been justified for groupcast but certainly with larger HARQ feedback overhead.</w:t>
      </w:r>
    </w:p>
    <w:p>
      <w:pPr>
        <w:pStyle w:val="19"/>
        <w:numPr>
          <w:ilvl w:val="0"/>
          <w:numId w:val="12"/>
        </w:numPr>
        <w:spacing w:before="120" w:after="120"/>
        <w:rPr>
          <w:rFonts w:eastAsia="宋体"/>
          <w:sz w:val="20"/>
          <w:szCs w:val="20"/>
        </w:rPr>
      </w:pPr>
      <w:r>
        <w:rPr>
          <w:rFonts w:hint="eastAsia" w:eastAsia="宋体"/>
          <w:sz w:val="20"/>
          <w:szCs w:val="20"/>
        </w:rPr>
        <w:t>CBG-based operation would impact the design of SCI and PSFCH, causing additional normative work which are not ensured to be done in Rel-16 due to limited time for the WI, and CBG-based operation is just an enhancement instead of a fundamental feature.</w:t>
      </w:r>
    </w:p>
    <w:p>
      <w:pPr>
        <w:pStyle w:val="16"/>
        <w:spacing w:before="120" w:after="120"/>
        <w:rPr>
          <w:lang w:val="en-US" w:eastAsia="zh-CN"/>
        </w:rPr>
      </w:pPr>
      <w:bookmarkStart w:id="29" w:name="_Toc11848"/>
      <w:bookmarkStart w:id="30" w:name="_Toc7752729"/>
      <w:bookmarkStart w:id="31" w:name="_Toc22730"/>
      <w:r>
        <w:rPr>
          <w:rFonts w:hint="eastAsia" w:eastAsia="宋体"/>
          <w:lang w:val="en-US" w:eastAsia="zh-CN"/>
        </w:rPr>
        <w:t xml:space="preserve">CBG based HARQ feedback is not </w:t>
      </w:r>
      <w:r>
        <w:rPr>
          <w:rFonts w:eastAsia="宋体"/>
          <w:lang w:val="en-US" w:eastAsia="zh-CN"/>
        </w:rPr>
        <w:t>supported</w:t>
      </w:r>
      <w:r>
        <w:rPr>
          <w:rFonts w:hint="eastAsia" w:eastAsia="宋体"/>
          <w:lang w:val="en-US" w:eastAsia="zh-CN"/>
        </w:rPr>
        <w:t xml:space="preserve"> in Rel-16 V2X</w:t>
      </w:r>
      <w:bookmarkEnd w:id="29"/>
      <w:bookmarkEnd w:id="30"/>
      <w:bookmarkEnd w:id="31"/>
    </w:p>
    <w:p>
      <w:pPr>
        <w:pStyle w:val="2"/>
        <w:spacing w:before="120" w:after="120"/>
        <w:ind w:left="0"/>
        <w:rPr>
          <w:szCs w:val="22"/>
        </w:rPr>
      </w:pPr>
      <w:bookmarkStart w:id="32" w:name="_Toc82"/>
      <w:bookmarkEnd w:id="32"/>
      <w:bookmarkStart w:id="33" w:name="_Toc29400"/>
      <w:bookmarkEnd w:id="33"/>
      <w:bookmarkStart w:id="34" w:name="_Toc525"/>
      <w:bookmarkEnd w:id="34"/>
      <w:r>
        <w:rPr>
          <w:rFonts w:hint="eastAsia"/>
          <w:szCs w:val="22"/>
        </w:rPr>
        <w:t>CSI acquisition</w:t>
      </w:r>
    </w:p>
    <w:p>
      <w:pPr>
        <w:overflowPunct w:val="0"/>
        <w:autoSpaceDE w:val="0"/>
        <w:autoSpaceDN w:val="0"/>
        <w:adjustRightInd w:val="0"/>
        <w:snapToGrid w:val="0"/>
        <w:spacing w:before="120" w:after="120"/>
        <w:textAlignment w:val="baseline"/>
        <w:rPr>
          <w:sz w:val="20"/>
        </w:rPr>
      </w:pPr>
      <w:r>
        <w:rPr>
          <w:rFonts w:hint="eastAsia"/>
          <w:sz w:val="20"/>
        </w:rPr>
        <w:t>As the agreement for CSI acquisition, at least Sidelink CSI-RS could be used for CQI/RI measurement, and sidelink CSI-RS is confined within the PSSCH transmission. From our point of view, it is not necessary to perform CQI/RI measurement for each packet, and CSI-RS is not always present in each PSSCH transmission. And to avoid ambiguity on the existence of SL CSI-RS between TX UE and RX UE which is related to rate matching, SCI should include the information to indicate the presence of CSI-RS in the PSSCH resources. As the 5G V2X WID[2], i</w:t>
      </w:r>
      <w:r>
        <w:rPr>
          <w:sz w:val="20"/>
          <w:lang w:eastAsia="ko-KR"/>
        </w:rPr>
        <w:t>n sidelink, CQI/RI reporting is supported</w:t>
      </w:r>
      <w:r>
        <w:rPr>
          <w:rFonts w:hint="eastAsia"/>
          <w:sz w:val="20"/>
        </w:rPr>
        <w:t xml:space="preserve"> and</w:t>
      </w:r>
      <w:r>
        <w:rPr>
          <w:sz w:val="20"/>
          <w:lang w:eastAsia="ko-KR"/>
        </w:rPr>
        <w:t xml:space="preserve"> is delivered using PSSCH (including PSSCH containing CSI only) using the resource allocation procedure for data transmission</w:t>
      </w:r>
      <w:r>
        <w:rPr>
          <w:rFonts w:hint="eastAsia"/>
          <w:sz w:val="20"/>
        </w:rPr>
        <w:t xml:space="preserve">. That is </w:t>
      </w:r>
      <w:r>
        <w:rPr>
          <w:sz w:val="20"/>
          <w:lang w:eastAsia="ko-KR"/>
        </w:rPr>
        <w:t>CQI/RI</w:t>
      </w:r>
      <w:r>
        <w:rPr>
          <w:rFonts w:hint="eastAsia"/>
          <w:sz w:val="20"/>
        </w:rPr>
        <w:t xml:space="preserve"> reporting should be treated the same way as data from the perspective of physical layer, and there is no need to indicate the presence of CQI/RI reporting in the associated PSSCH in SCI. Similar to CSI reporting via Uu, </w:t>
      </w:r>
      <w:r>
        <w:rPr>
          <w:sz w:val="20"/>
          <w:lang w:eastAsia="ko-KR"/>
        </w:rPr>
        <w:t>CQI/RI</w:t>
      </w:r>
      <w:r>
        <w:rPr>
          <w:rFonts w:hint="eastAsia"/>
          <w:sz w:val="20"/>
        </w:rPr>
        <w:t xml:space="preserve"> reporting could be carried in MAC CE.</w:t>
      </w:r>
    </w:p>
    <w:p>
      <w:pPr>
        <w:pStyle w:val="16"/>
        <w:spacing w:before="120" w:after="120"/>
        <w:rPr>
          <w:szCs w:val="22"/>
          <w:lang w:val="en-US" w:eastAsia="zh-CN"/>
        </w:rPr>
      </w:pPr>
      <w:bookmarkStart w:id="35" w:name="_Toc14823"/>
      <w:bookmarkStart w:id="36" w:name="_Toc22783"/>
      <w:bookmarkStart w:id="37" w:name="_Toc7752730"/>
      <w:r>
        <w:rPr>
          <w:rFonts w:eastAsia="宋体"/>
          <w:lang w:val="en-US" w:eastAsia="zh-CN"/>
        </w:rPr>
        <w:t xml:space="preserve">It is </w:t>
      </w:r>
      <w:r>
        <w:rPr>
          <w:rFonts w:hint="eastAsia" w:eastAsia="宋体"/>
          <w:lang w:val="en-US" w:eastAsia="zh-CN"/>
        </w:rPr>
        <w:t>support</w:t>
      </w:r>
      <w:r>
        <w:rPr>
          <w:rFonts w:eastAsia="宋体"/>
          <w:lang w:val="en-US" w:eastAsia="zh-CN"/>
        </w:rPr>
        <w:t>ed</w:t>
      </w:r>
      <w:r>
        <w:rPr>
          <w:rFonts w:hint="eastAsia" w:eastAsia="宋体"/>
          <w:lang w:val="en-US" w:eastAsia="zh-CN"/>
        </w:rPr>
        <w:t xml:space="preserve"> that the information of sidelink CSI-RS in associated PSSCH is indicated in SCI.</w:t>
      </w:r>
      <w:bookmarkEnd w:id="35"/>
      <w:bookmarkEnd w:id="36"/>
      <w:bookmarkEnd w:id="37"/>
    </w:p>
    <w:p>
      <w:pPr>
        <w:pStyle w:val="16"/>
        <w:spacing w:before="120" w:after="120"/>
        <w:rPr>
          <w:lang w:val="en-US" w:eastAsia="zh-CN"/>
        </w:rPr>
      </w:pPr>
      <w:bookmarkStart w:id="38" w:name="_Toc18244"/>
      <w:bookmarkStart w:id="39" w:name="_Toc7752731"/>
      <w:bookmarkStart w:id="40" w:name="_Toc16261"/>
      <w:r>
        <w:rPr>
          <w:lang w:eastAsia="ko-KR"/>
        </w:rPr>
        <w:t>CQI/RI</w:t>
      </w:r>
      <w:r>
        <w:rPr>
          <w:rFonts w:hint="eastAsia"/>
          <w:lang w:val="en-US" w:eastAsia="zh-CN"/>
        </w:rPr>
        <w:t xml:space="preserve"> reporting is carried in MAC CE, and no information is needed in SCI to indicate the presence of </w:t>
      </w:r>
      <w:r>
        <w:rPr>
          <w:lang w:eastAsia="ko-KR"/>
        </w:rPr>
        <w:t>CQI/RI</w:t>
      </w:r>
      <w:r>
        <w:rPr>
          <w:rFonts w:hint="eastAsia"/>
          <w:lang w:val="en-US" w:eastAsia="zh-CN"/>
        </w:rPr>
        <w:t xml:space="preserve"> reporting.</w:t>
      </w:r>
      <w:bookmarkEnd w:id="38"/>
      <w:bookmarkEnd w:id="39"/>
      <w:bookmarkEnd w:id="40"/>
    </w:p>
    <w:p>
      <w:pPr>
        <w:pStyle w:val="2"/>
        <w:spacing w:before="120" w:after="120"/>
        <w:ind w:left="0"/>
        <w:rPr>
          <w:szCs w:val="22"/>
        </w:rPr>
      </w:pPr>
      <w:r>
        <w:rPr>
          <w:rFonts w:hint="eastAsia"/>
          <w:szCs w:val="22"/>
        </w:rPr>
        <w:t>Power control</w:t>
      </w:r>
    </w:p>
    <w:p>
      <w:pPr>
        <w:overflowPunct w:val="0"/>
        <w:autoSpaceDE w:val="0"/>
        <w:autoSpaceDN w:val="0"/>
        <w:adjustRightInd w:val="0"/>
        <w:snapToGrid w:val="0"/>
        <w:spacing w:before="120" w:after="120"/>
        <w:textAlignment w:val="baseline"/>
        <w:rPr>
          <w:sz w:val="20"/>
        </w:rPr>
      </w:pPr>
      <w:r>
        <w:rPr>
          <w:rFonts w:hint="eastAsia"/>
          <w:sz w:val="20"/>
        </w:rPr>
        <w:t xml:space="preserve">As the outcome of the </w:t>
      </w:r>
      <w:r>
        <w:rPr>
          <w:sz w:val="20"/>
        </w:rPr>
        <w:t>SI</w:t>
      </w:r>
      <w:r>
        <w:rPr>
          <w:rFonts w:hint="eastAsia"/>
          <w:sz w:val="20"/>
        </w:rPr>
        <w:t>, to derive the SL</w:t>
      </w:r>
      <w:r>
        <w:rPr>
          <w:sz w:val="20"/>
        </w:rPr>
        <w:t xml:space="preserve"> pathloss</w:t>
      </w:r>
      <w:r>
        <w:rPr>
          <w:rFonts w:hint="eastAsia"/>
          <w:sz w:val="20"/>
        </w:rPr>
        <w:t xml:space="preserve"> at TX UE, RSRP reporting to the TX UE is supported. And it can be expected that the L3 filtered pathloss would be used to perform sidelink open loop power control. But it would be some problem if the L3 filtering was done for RSRP while the Tx power may be fluctuated at the TX UE side due to sidelink power control. To resolve this issue, the Tx power of the signal transmitted by the Tx UE could be indicated to the RX UE, and the RX UE could perform the L3 filtering for pathloss basing on the indicated TX power and the measured RSRP. </w:t>
      </w:r>
    </w:p>
    <w:p>
      <w:pPr>
        <w:pStyle w:val="16"/>
        <w:spacing w:before="120" w:after="120"/>
        <w:rPr>
          <w:lang w:val="en-US" w:eastAsia="zh-CN"/>
        </w:rPr>
      </w:pPr>
      <w:bookmarkStart w:id="41" w:name="_Toc7752732"/>
      <w:bookmarkStart w:id="42" w:name="_Toc10229"/>
      <w:bookmarkStart w:id="43" w:name="_Toc10869"/>
      <w:r>
        <w:rPr>
          <w:rFonts w:hint="eastAsia"/>
          <w:lang w:val="en-US" w:eastAsia="zh-CN"/>
        </w:rPr>
        <w:t>For the signal used for RX UE RSRP measurement, its TX power is also indicated to the RX UE.</w:t>
      </w:r>
      <w:bookmarkEnd w:id="41"/>
      <w:bookmarkEnd w:id="42"/>
      <w:bookmarkEnd w:id="43"/>
    </w:p>
    <w:p>
      <w:pPr>
        <w:spacing w:before="120" w:after="120"/>
        <w:rPr>
          <w:sz w:val="20"/>
        </w:rPr>
      </w:pPr>
      <w:r>
        <w:rPr>
          <w:rFonts w:hint="eastAsia"/>
          <w:sz w:val="20"/>
        </w:rPr>
        <w:t>For NR SL power control for PSCCH and PSSCH multiplexing option 3, an reply LS(R1-1903847) was received from RAN4 at RAN1#96bis meeting. From the LS, it can be seen that transient period is needed between symbols containing PSCCH and symbols not containing PSCCH if either the total transmit power or the power spectral density is different between the last symbol containing PSCCH and the following symbol. For PSCCH and PSSCH multiplexing option 3, either the total Tx Power or PSSCH EPRE would be different between the symbols containing PSCCH and the symbols only with PSSCH if PSCCH boosting was supported. So to avoid the transient period, we propose that power boosting for PSCCH is not supported for PSCCH and PSSCH multiplexing option 3.</w:t>
      </w:r>
    </w:p>
    <w:p>
      <w:pPr>
        <w:pStyle w:val="16"/>
        <w:spacing w:before="120" w:after="120"/>
        <w:rPr>
          <w:lang w:val="en-US" w:eastAsia="zh-CN"/>
        </w:rPr>
      </w:pPr>
      <w:bookmarkStart w:id="44" w:name="_Toc21066"/>
      <w:bookmarkStart w:id="45" w:name="_Toc24375"/>
      <w:bookmarkStart w:id="46" w:name="_Toc7752733"/>
      <w:r>
        <w:rPr>
          <w:rFonts w:hint="eastAsia"/>
          <w:lang w:val="en-US" w:eastAsia="zh-CN"/>
        </w:rPr>
        <w:t>For PSCCH and PSSCH multiplexing option 3, power boosting for PSCCH is not supported.</w:t>
      </w:r>
      <w:bookmarkEnd w:id="44"/>
      <w:bookmarkEnd w:id="45"/>
      <w:bookmarkEnd w:id="46"/>
    </w:p>
    <w:p>
      <w:pPr>
        <w:pStyle w:val="2"/>
        <w:spacing w:before="120" w:after="120"/>
        <w:ind w:left="0"/>
        <w:rPr>
          <w:rFonts w:eastAsia="宋体"/>
        </w:rPr>
      </w:pPr>
      <w:r>
        <w:rPr>
          <w:rFonts w:hint="eastAsia" w:eastAsia="宋体"/>
        </w:rPr>
        <w:t>Conclusion</w:t>
      </w:r>
    </w:p>
    <w:p>
      <w:pPr>
        <w:snapToGrid w:val="0"/>
        <w:spacing w:before="120" w:after="120"/>
        <w:rPr>
          <w:szCs w:val="22"/>
        </w:rPr>
      </w:pPr>
      <w:r>
        <w:rPr>
          <w:rFonts w:cs="Arial"/>
          <w:sz w:val="20"/>
        </w:rPr>
        <w:t>T</w:t>
      </w:r>
      <w:r>
        <w:rPr>
          <w:rFonts w:hint="eastAsia" w:cs="Arial"/>
          <w:sz w:val="20"/>
        </w:rPr>
        <w:t xml:space="preserve">his </w:t>
      </w:r>
      <w:r>
        <w:rPr>
          <w:rFonts w:hint="eastAsia" w:cs="Arial" w:eastAsiaTheme="minorEastAsia"/>
          <w:sz w:val="20"/>
        </w:rPr>
        <w:t>paper</w:t>
      </w:r>
      <w:r>
        <w:rPr>
          <w:rFonts w:hint="eastAsia" w:cs="Arial"/>
          <w:sz w:val="20"/>
        </w:rPr>
        <w:t xml:space="preserve"> concludes with </w:t>
      </w:r>
      <w:r>
        <w:rPr>
          <w:rFonts w:hint="eastAsia" w:cs="Arial" w:eastAsiaTheme="minorEastAsia"/>
          <w:sz w:val="20"/>
        </w:rPr>
        <w:t>t</w:t>
      </w:r>
      <w:r>
        <w:rPr>
          <w:rFonts w:hint="eastAsia" w:cs="Arial"/>
          <w:sz w:val="20"/>
        </w:rPr>
        <w:t>he following observation and proposals.</w:t>
      </w:r>
    </w:p>
    <w:p>
      <w:pPr>
        <w:pStyle w:val="8"/>
        <w:tabs>
          <w:tab w:val="left" w:pos="1540"/>
          <w:tab w:val="right" w:leader="dot" w:pos="9650"/>
        </w:tabs>
        <w:spacing w:before="120" w:after="120"/>
        <w:rPr>
          <w:rFonts w:asciiTheme="minorHAnsi" w:hAnsiTheme="minorHAnsi" w:cstheme="minorBidi"/>
          <w:b w:val="0"/>
          <w:i w:val="0"/>
          <w:kern w:val="0"/>
          <w:sz w:val="22"/>
          <w:szCs w:val="22"/>
        </w:rPr>
      </w:pPr>
      <w:r>
        <w:rPr>
          <w:sz w:val="21"/>
          <w:szCs w:val="22"/>
        </w:rPr>
        <w:fldChar w:fldCharType="begin"/>
      </w:r>
      <w:r>
        <w:rPr>
          <w:sz w:val="21"/>
          <w:szCs w:val="22"/>
        </w:rPr>
        <w:instrText xml:space="preserve">TOC \n  \t "YJ-Observation,1" \h</w:instrText>
      </w:r>
      <w:r>
        <w:rPr>
          <w:sz w:val="21"/>
          <w:szCs w:val="22"/>
        </w:rPr>
        <w:fldChar w:fldCharType="separate"/>
      </w:r>
      <w:r>
        <w:fldChar w:fldCharType="begin"/>
      </w:r>
      <w:r>
        <w:instrText xml:space="preserve"> HYPERLINK \l "_Toc7752718" </w:instrText>
      </w:r>
      <w:r>
        <w:fldChar w:fldCharType="separate"/>
      </w:r>
      <w:r>
        <w:rPr>
          <w:rStyle w:val="12"/>
          <w:rFonts w:eastAsia="宋体"/>
        </w:rPr>
        <w:t>Observation 1:</w:t>
      </w:r>
      <w:r>
        <w:rPr>
          <w:rFonts w:asciiTheme="minorHAnsi" w:hAnsiTheme="minorHAnsi" w:cstheme="minorBidi"/>
          <w:b w:val="0"/>
          <w:i w:val="0"/>
          <w:kern w:val="0"/>
          <w:sz w:val="22"/>
          <w:szCs w:val="22"/>
        </w:rPr>
        <w:tab/>
      </w:r>
      <w:r>
        <w:rPr>
          <w:rStyle w:val="12"/>
        </w:rPr>
        <w:t>The feasibility of option 2 for groupcast HARQ feedback depends on the conclusion of RAN2’s discussion on group management.</w:t>
      </w:r>
      <w:r>
        <w:rPr>
          <w:rStyle w:val="12"/>
        </w:rPr>
        <w:fldChar w:fldCharType="end"/>
      </w:r>
    </w:p>
    <w:p>
      <w:pPr>
        <w:pStyle w:val="8"/>
        <w:tabs>
          <w:tab w:val="left" w:pos="1540"/>
          <w:tab w:val="right" w:leader="dot" w:pos="9650"/>
        </w:tabs>
        <w:spacing w:before="120" w:after="120"/>
        <w:rPr>
          <w:rFonts w:asciiTheme="minorHAnsi" w:hAnsiTheme="minorHAnsi" w:cstheme="minorBidi"/>
          <w:b w:val="0"/>
          <w:i w:val="0"/>
          <w:kern w:val="0"/>
          <w:sz w:val="22"/>
          <w:szCs w:val="22"/>
        </w:rPr>
      </w:pPr>
      <w:r>
        <w:fldChar w:fldCharType="begin"/>
      </w:r>
      <w:r>
        <w:instrText xml:space="preserve"> HYPERLINK \l "_Toc7752719" </w:instrText>
      </w:r>
      <w:r>
        <w:fldChar w:fldCharType="separate"/>
      </w:r>
      <w:r>
        <w:rPr>
          <w:rStyle w:val="12"/>
          <w:rFonts w:eastAsia="宋体"/>
        </w:rPr>
        <w:t>Observation 2:</w:t>
      </w:r>
      <w:r>
        <w:rPr>
          <w:rFonts w:asciiTheme="minorHAnsi" w:hAnsiTheme="minorHAnsi" w:cstheme="minorBidi"/>
          <w:b w:val="0"/>
          <w:i w:val="0"/>
          <w:kern w:val="0"/>
          <w:sz w:val="22"/>
          <w:szCs w:val="22"/>
        </w:rPr>
        <w:tab/>
      </w:r>
      <w:r>
        <w:rPr>
          <w:rStyle w:val="12"/>
        </w:rPr>
        <w:t xml:space="preserve">For </w:t>
      </w:r>
      <w:r>
        <w:rPr>
          <w:rStyle w:val="12"/>
          <w:rFonts w:eastAsia="宋体"/>
        </w:rPr>
        <w:t xml:space="preserve">groupcast with application layer session formation (e.g., platooning), the HARQ feedback control based on Tx-Rx distance </w:t>
      </w:r>
      <w:r>
        <w:rPr>
          <w:rStyle w:val="12"/>
        </w:rPr>
        <w:t>is neither necessary nor intended</w:t>
      </w:r>
      <w:r>
        <w:rPr>
          <w:rStyle w:val="12"/>
          <w:rFonts w:eastAsia="宋体"/>
        </w:rPr>
        <w:t>.</w:t>
      </w:r>
      <w:r>
        <w:rPr>
          <w:rStyle w:val="12"/>
          <w:rFonts w:eastAsia="宋体"/>
        </w:rPr>
        <w:fldChar w:fldCharType="end"/>
      </w:r>
    </w:p>
    <w:p>
      <w:pPr>
        <w:pStyle w:val="8"/>
        <w:tabs>
          <w:tab w:val="right" w:pos="9660"/>
        </w:tabs>
        <w:spacing w:before="120" w:after="120"/>
      </w:pPr>
      <w:r>
        <w:rPr>
          <w:szCs w:val="22"/>
        </w:rPr>
        <w:fldChar w:fldCharType="end"/>
      </w:r>
    </w:p>
    <w:p>
      <w:pPr>
        <w:pStyle w:val="8"/>
        <w:tabs>
          <w:tab w:val="left" w:pos="1320"/>
          <w:tab w:val="right" w:leader="dot" w:pos="9650"/>
        </w:tabs>
        <w:spacing w:before="120" w:after="120"/>
        <w:rPr>
          <w:rFonts w:asciiTheme="minorHAnsi" w:hAnsiTheme="minorHAnsi" w:cstheme="minorBidi"/>
          <w:b w:val="0"/>
          <w:i w:val="0"/>
          <w:kern w:val="0"/>
          <w:sz w:val="22"/>
          <w:szCs w:val="22"/>
        </w:rPr>
      </w:pPr>
      <w:r>
        <w:fldChar w:fldCharType="begin"/>
      </w:r>
      <w:r>
        <w:instrText xml:space="preserve">TOC \n  \t "YJ-Proposal,1,sub-proposal,2" \h</w:instrText>
      </w:r>
      <w:r>
        <w:fldChar w:fldCharType="separate"/>
      </w:r>
      <w:r>
        <w:fldChar w:fldCharType="begin"/>
      </w:r>
      <w:r>
        <w:instrText xml:space="preserve"> HYPERLINK \l "_Toc7752721" </w:instrText>
      </w:r>
      <w:r>
        <w:fldChar w:fldCharType="separate"/>
      </w:r>
      <w:r>
        <w:rPr>
          <w:rStyle w:val="12"/>
          <w:rFonts w:eastAsia="宋体"/>
        </w:rPr>
        <w:t>Proposal 1:</w:t>
      </w:r>
      <w:r>
        <w:rPr>
          <w:rFonts w:asciiTheme="minorHAnsi" w:hAnsiTheme="minorHAnsi" w:cstheme="minorBidi"/>
          <w:b w:val="0"/>
          <w:i w:val="0"/>
          <w:kern w:val="0"/>
          <w:sz w:val="22"/>
          <w:szCs w:val="22"/>
        </w:rPr>
        <w:tab/>
      </w:r>
      <w:r>
        <w:rPr>
          <w:rStyle w:val="12"/>
        </w:rPr>
        <w:t xml:space="preserve">The </w:t>
      </w:r>
      <w:r>
        <w:rPr>
          <w:rStyle w:val="12"/>
          <w:rFonts w:eastAsia="宋体"/>
        </w:rPr>
        <w:t>frequency/code domain mapping of PSFCH containing HARQ feedback is implicitly determined by the associated PSSCH/PSCCH resource.</w:t>
      </w:r>
      <w:r>
        <w:rPr>
          <w:rStyle w:val="12"/>
          <w:rFonts w:eastAsia="宋体"/>
        </w:rPr>
        <w:fldChar w:fldCharType="end"/>
      </w:r>
    </w:p>
    <w:p>
      <w:pPr>
        <w:pStyle w:val="8"/>
        <w:tabs>
          <w:tab w:val="left" w:pos="1320"/>
          <w:tab w:val="right" w:leader="dot" w:pos="9650"/>
        </w:tabs>
        <w:spacing w:before="120" w:after="120"/>
        <w:rPr>
          <w:rFonts w:asciiTheme="minorHAnsi" w:hAnsiTheme="minorHAnsi" w:cstheme="minorBidi"/>
          <w:b w:val="0"/>
          <w:i w:val="0"/>
          <w:kern w:val="0"/>
          <w:sz w:val="22"/>
          <w:szCs w:val="22"/>
        </w:rPr>
      </w:pPr>
      <w:r>
        <w:fldChar w:fldCharType="begin"/>
      </w:r>
      <w:r>
        <w:instrText xml:space="preserve"> HYPERLINK \l "_Toc7752722" </w:instrText>
      </w:r>
      <w:r>
        <w:fldChar w:fldCharType="separate"/>
      </w:r>
      <w:r>
        <w:rPr>
          <w:rStyle w:val="12"/>
          <w:rFonts w:eastAsia="宋体"/>
        </w:rPr>
        <w:t>Proposal 2:</w:t>
      </w:r>
      <w:r>
        <w:rPr>
          <w:rFonts w:asciiTheme="minorHAnsi" w:hAnsiTheme="minorHAnsi" w:cstheme="minorBidi"/>
          <w:b w:val="0"/>
          <w:i w:val="0"/>
          <w:kern w:val="0"/>
          <w:sz w:val="22"/>
          <w:szCs w:val="22"/>
        </w:rPr>
        <w:tab/>
      </w:r>
      <w:r>
        <w:rPr>
          <w:rStyle w:val="12"/>
        </w:rPr>
        <w:t>For NACK-only feedback in groupcast, Rel-16 only supports the case where all the receiver UEs in the group share a PSFCH resource, with the same PSFCH-to-PSSCH/PSCCH mapping rule as for unicast.</w:t>
      </w:r>
      <w:r>
        <w:rPr>
          <w:rStyle w:val="12"/>
        </w:rPr>
        <w:fldChar w:fldCharType="end"/>
      </w:r>
    </w:p>
    <w:p>
      <w:pPr>
        <w:pStyle w:val="8"/>
        <w:tabs>
          <w:tab w:val="left" w:pos="1320"/>
          <w:tab w:val="right" w:leader="dot" w:pos="9650"/>
        </w:tabs>
        <w:spacing w:before="120" w:after="120"/>
        <w:rPr>
          <w:rFonts w:asciiTheme="minorHAnsi" w:hAnsiTheme="minorHAnsi" w:cstheme="minorBidi"/>
          <w:b w:val="0"/>
          <w:i w:val="0"/>
          <w:kern w:val="0"/>
          <w:sz w:val="22"/>
          <w:szCs w:val="22"/>
        </w:rPr>
      </w:pPr>
      <w:r>
        <w:fldChar w:fldCharType="begin"/>
      </w:r>
      <w:r>
        <w:instrText xml:space="preserve"> HYPERLINK \l "_Toc7752723" </w:instrText>
      </w:r>
      <w:r>
        <w:fldChar w:fldCharType="separate"/>
      </w:r>
      <w:r>
        <w:rPr>
          <w:rStyle w:val="12"/>
          <w:rFonts w:eastAsia="宋体"/>
        </w:rPr>
        <w:t>Proposal 3:</w:t>
      </w:r>
      <w:r>
        <w:rPr>
          <w:rFonts w:asciiTheme="minorHAnsi" w:hAnsiTheme="minorHAnsi" w:cstheme="minorBidi"/>
          <w:b w:val="0"/>
          <w:i w:val="0"/>
          <w:kern w:val="0"/>
          <w:sz w:val="22"/>
          <w:szCs w:val="22"/>
        </w:rPr>
        <w:tab/>
      </w:r>
      <w:r>
        <w:rPr>
          <w:rStyle w:val="12"/>
          <w:rFonts w:eastAsia="宋体"/>
        </w:rPr>
        <w:t xml:space="preserve">For option 2, it is not supported in Rel-16 that all or a subset of receiver UEs share a PSFCH for ACK transmission and another PSFCH for NACK </w:t>
      </w:r>
      <w:r>
        <w:rPr>
          <w:rStyle w:val="12"/>
        </w:rPr>
        <w:t>transmission</w:t>
      </w:r>
      <w:r>
        <w:rPr>
          <w:rStyle w:val="12"/>
          <w:rFonts w:eastAsia="宋体"/>
        </w:rPr>
        <w:t>.</w:t>
      </w:r>
      <w:r>
        <w:rPr>
          <w:rStyle w:val="12"/>
          <w:rFonts w:eastAsia="宋体"/>
        </w:rPr>
        <w:fldChar w:fldCharType="end"/>
      </w:r>
    </w:p>
    <w:p>
      <w:pPr>
        <w:pStyle w:val="8"/>
        <w:tabs>
          <w:tab w:val="left" w:pos="1320"/>
          <w:tab w:val="right" w:leader="dot" w:pos="9650"/>
        </w:tabs>
        <w:spacing w:before="120" w:after="120"/>
        <w:rPr>
          <w:rFonts w:asciiTheme="minorHAnsi" w:hAnsiTheme="minorHAnsi" w:cstheme="minorBidi"/>
          <w:b w:val="0"/>
          <w:i w:val="0"/>
          <w:kern w:val="0"/>
          <w:sz w:val="22"/>
          <w:szCs w:val="22"/>
        </w:rPr>
      </w:pPr>
      <w:r>
        <w:fldChar w:fldCharType="begin"/>
      </w:r>
      <w:r>
        <w:instrText xml:space="preserve"> HYPERLINK \l "_Toc7752724" </w:instrText>
      </w:r>
      <w:r>
        <w:fldChar w:fldCharType="separate"/>
      </w:r>
      <w:r>
        <w:rPr>
          <w:rStyle w:val="12"/>
          <w:rFonts w:eastAsia="宋体"/>
        </w:rPr>
        <w:t>Proposal 4:</w:t>
      </w:r>
      <w:r>
        <w:rPr>
          <w:rFonts w:asciiTheme="minorHAnsi" w:hAnsiTheme="minorHAnsi" w:cstheme="minorBidi"/>
          <w:b w:val="0"/>
          <w:i w:val="0"/>
          <w:kern w:val="0"/>
          <w:sz w:val="22"/>
          <w:szCs w:val="22"/>
        </w:rPr>
        <w:tab/>
      </w:r>
      <w:r>
        <w:rPr>
          <w:rStyle w:val="12"/>
          <w:rFonts w:eastAsia="宋体"/>
        </w:rPr>
        <w:t xml:space="preserve">For option 1 and option 2, it is </w:t>
      </w:r>
      <w:r>
        <w:rPr>
          <w:rStyle w:val="12"/>
        </w:rPr>
        <w:t>supported that the information for PSFCH resource(s) allocation is not signaled in SCI or SL grant DCI.</w:t>
      </w:r>
      <w:r>
        <w:rPr>
          <w:rStyle w:val="12"/>
        </w:rPr>
        <w:fldChar w:fldCharType="end"/>
      </w:r>
    </w:p>
    <w:p>
      <w:pPr>
        <w:pStyle w:val="8"/>
        <w:tabs>
          <w:tab w:val="left" w:pos="1320"/>
          <w:tab w:val="right" w:leader="dot" w:pos="9650"/>
        </w:tabs>
        <w:spacing w:before="120" w:after="120"/>
        <w:rPr>
          <w:rFonts w:asciiTheme="minorHAnsi" w:hAnsiTheme="minorHAnsi" w:cstheme="minorBidi"/>
          <w:b w:val="0"/>
          <w:i w:val="0"/>
          <w:kern w:val="0"/>
          <w:sz w:val="22"/>
          <w:szCs w:val="22"/>
        </w:rPr>
      </w:pPr>
      <w:r>
        <w:fldChar w:fldCharType="begin"/>
      </w:r>
      <w:r>
        <w:instrText xml:space="preserve"> HYPERLINK \l "_Toc7752725" </w:instrText>
      </w:r>
      <w:r>
        <w:fldChar w:fldCharType="separate"/>
      </w:r>
      <w:r>
        <w:rPr>
          <w:rStyle w:val="12"/>
          <w:rFonts w:eastAsia="宋体"/>
        </w:rPr>
        <w:t>Proposal 5:</w:t>
      </w:r>
      <w:r>
        <w:rPr>
          <w:rFonts w:asciiTheme="minorHAnsi" w:hAnsiTheme="minorHAnsi" w:cstheme="minorBidi"/>
          <w:b w:val="0"/>
          <w:i w:val="0"/>
          <w:kern w:val="0"/>
          <w:sz w:val="22"/>
          <w:szCs w:val="22"/>
        </w:rPr>
        <w:tab/>
      </w:r>
      <w:r>
        <w:rPr>
          <w:rStyle w:val="12"/>
        </w:rPr>
        <w:t>A groupcast with HARQ feedback enabled does not use both option 1 and option 2 at the same time.</w:t>
      </w:r>
      <w:r>
        <w:rPr>
          <w:rStyle w:val="12"/>
        </w:rPr>
        <w:fldChar w:fldCharType="end"/>
      </w:r>
    </w:p>
    <w:p>
      <w:pPr>
        <w:pStyle w:val="8"/>
        <w:tabs>
          <w:tab w:val="left" w:pos="1320"/>
          <w:tab w:val="right" w:leader="dot" w:pos="9650"/>
        </w:tabs>
        <w:spacing w:before="120" w:after="120"/>
        <w:rPr>
          <w:rFonts w:asciiTheme="minorHAnsi" w:hAnsiTheme="minorHAnsi" w:cstheme="minorBidi"/>
          <w:b w:val="0"/>
          <w:i w:val="0"/>
          <w:kern w:val="0"/>
          <w:sz w:val="22"/>
          <w:szCs w:val="22"/>
        </w:rPr>
      </w:pPr>
      <w:r>
        <w:fldChar w:fldCharType="begin"/>
      </w:r>
      <w:r>
        <w:instrText xml:space="preserve"> HYPERLINK \l "_Toc7752726" </w:instrText>
      </w:r>
      <w:r>
        <w:fldChar w:fldCharType="separate"/>
      </w:r>
      <w:r>
        <w:rPr>
          <w:rStyle w:val="12"/>
          <w:rFonts w:eastAsia="宋体"/>
        </w:rPr>
        <w:t>Proposal 6:</w:t>
      </w:r>
      <w:r>
        <w:rPr>
          <w:rFonts w:asciiTheme="minorHAnsi" w:hAnsiTheme="minorHAnsi" w:cstheme="minorBidi"/>
          <w:b w:val="0"/>
          <w:i w:val="0"/>
          <w:kern w:val="0"/>
          <w:sz w:val="22"/>
          <w:szCs w:val="22"/>
        </w:rPr>
        <w:tab/>
      </w:r>
      <w:r>
        <w:rPr>
          <w:rStyle w:val="12"/>
        </w:rPr>
        <w:t>The groupcast HARQ feedback control based on Tx-Rx distance is only applied to NACK-only HARQ feedback.</w:t>
      </w:r>
      <w:r>
        <w:rPr>
          <w:rStyle w:val="12"/>
        </w:rPr>
        <w:fldChar w:fldCharType="end"/>
      </w:r>
    </w:p>
    <w:p>
      <w:pPr>
        <w:pStyle w:val="8"/>
        <w:tabs>
          <w:tab w:val="left" w:pos="1320"/>
          <w:tab w:val="right" w:leader="dot" w:pos="9650"/>
        </w:tabs>
        <w:spacing w:before="120" w:after="120"/>
        <w:rPr>
          <w:rFonts w:asciiTheme="minorHAnsi" w:hAnsiTheme="minorHAnsi" w:cstheme="minorBidi"/>
          <w:b w:val="0"/>
          <w:i w:val="0"/>
          <w:kern w:val="0"/>
          <w:sz w:val="22"/>
          <w:szCs w:val="22"/>
        </w:rPr>
      </w:pPr>
      <w:r>
        <w:fldChar w:fldCharType="begin"/>
      </w:r>
      <w:r>
        <w:instrText xml:space="preserve"> HYPERLINK \l "_Toc7752727" </w:instrText>
      </w:r>
      <w:r>
        <w:fldChar w:fldCharType="separate"/>
      </w:r>
      <w:r>
        <w:rPr>
          <w:rStyle w:val="12"/>
          <w:rFonts w:eastAsia="宋体"/>
        </w:rPr>
        <w:t>Proposal 7:</w:t>
      </w:r>
      <w:r>
        <w:rPr>
          <w:rFonts w:asciiTheme="minorHAnsi" w:hAnsiTheme="minorHAnsi" w:cstheme="minorBidi"/>
          <w:b w:val="0"/>
          <w:i w:val="0"/>
          <w:kern w:val="0"/>
          <w:sz w:val="22"/>
          <w:szCs w:val="22"/>
        </w:rPr>
        <w:tab/>
      </w:r>
      <w:r>
        <w:rPr>
          <w:rStyle w:val="12"/>
          <w:rFonts w:eastAsia="宋体"/>
        </w:rPr>
        <w:t xml:space="preserve">Layer-1 destination ID and layer-1 source ID are derived from the upper layer destination ID and source ID, e.g., by taking the 8LSBs of upper layer ID’s. </w:t>
      </w:r>
      <w:r>
        <w:rPr>
          <w:rStyle w:val="12"/>
        </w:rPr>
        <w:t>U</w:t>
      </w:r>
      <w:r>
        <w:rPr>
          <w:rStyle w:val="12"/>
          <w:rFonts w:eastAsia="宋体"/>
        </w:rPr>
        <w:t>pper layer ID updating mechanism as in LTE V2X is adopted to solve Layer-1 ID collision issue.</w:t>
      </w:r>
      <w:r>
        <w:rPr>
          <w:rStyle w:val="12"/>
          <w:rFonts w:eastAsia="宋体"/>
        </w:rPr>
        <w:fldChar w:fldCharType="end"/>
      </w:r>
    </w:p>
    <w:p>
      <w:pPr>
        <w:pStyle w:val="8"/>
        <w:tabs>
          <w:tab w:val="left" w:pos="1320"/>
          <w:tab w:val="right" w:leader="dot" w:pos="9650"/>
        </w:tabs>
        <w:spacing w:before="120" w:after="120"/>
        <w:rPr>
          <w:rFonts w:asciiTheme="minorHAnsi" w:hAnsiTheme="minorHAnsi" w:cstheme="minorBidi"/>
          <w:b w:val="0"/>
          <w:i w:val="0"/>
          <w:kern w:val="0"/>
          <w:sz w:val="22"/>
          <w:szCs w:val="22"/>
        </w:rPr>
      </w:pPr>
      <w:r>
        <w:fldChar w:fldCharType="begin"/>
      </w:r>
      <w:r>
        <w:instrText xml:space="preserve"> HYPERLINK \l "_Toc7752728" </w:instrText>
      </w:r>
      <w:r>
        <w:fldChar w:fldCharType="separate"/>
      </w:r>
      <w:r>
        <w:rPr>
          <w:rStyle w:val="12"/>
          <w:rFonts w:eastAsia="宋体"/>
        </w:rPr>
        <w:t>Proposal 8:</w:t>
      </w:r>
      <w:r>
        <w:rPr>
          <w:rFonts w:asciiTheme="minorHAnsi" w:hAnsiTheme="minorHAnsi" w:cstheme="minorBidi"/>
          <w:b w:val="0"/>
          <w:i w:val="0"/>
          <w:kern w:val="0"/>
          <w:sz w:val="22"/>
          <w:szCs w:val="22"/>
        </w:rPr>
        <w:tab/>
      </w:r>
      <w:r>
        <w:rPr>
          <w:rStyle w:val="12"/>
          <w:rFonts w:eastAsia="宋体"/>
        </w:rPr>
        <w:t>L1 destination ID, HARQ process ID, RV, NDI and L1 source ID are always present in SCI for broadcast, groupcast and unicast.</w:t>
      </w:r>
      <w:r>
        <w:rPr>
          <w:rStyle w:val="12"/>
          <w:rFonts w:eastAsia="宋体"/>
        </w:rPr>
        <w:fldChar w:fldCharType="end"/>
      </w:r>
    </w:p>
    <w:p>
      <w:pPr>
        <w:pStyle w:val="8"/>
        <w:tabs>
          <w:tab w:val="left" w:pos="1320"/>
          <w:tab w:val="right" w:leader="dot" w:pos="9650"/>
        </w:tabs>
        <w:spacing w:before="120" w:after="120"/>
        <w:rPr>
          <w:rFonts w:asciiTheme="minorHAnsi" w:hAnsiTheme="minorHAnsi" w:cstheme="minorBidi"/>
          <w:b w:val="0"/>
          <w:i w:val="0"/>
          <w:kern w:val="0"/>
          <w:sz w:val="22"/>
          <w:szCs w:val="22"/>
        </w:rPr>
      </w:pPr>
      <w:r>
        <w:fldChar w:fldCharType="begin"/>
      </w:r>
      <w:r>
        <w:instrText xml:space="preserve"> HYPERLINK \l "_Toc7752729" </w:instrText>
      </w:r>
      <w:r>
        <w:fldChar w:fldCharType="separate"/>
      </w:r>
      <w:r>
        <w:rPr>
          <w:rStyle w:val="12"/>
          <w:rFonts w:eastAsia="宋体"/>
        </w:rPr>
        <w:t>Proposal 9:</w:t>
      </w:r>
      <w:r>
        <w:rPr>
          <w:rFonts w:asciiTheme="minorHAnsi" w:hAnsiTheme="minorHAnsi" w:cstheme="minorBidi"/>
          <w:b w:val="0"/>
          <w:i w:val="0"/>
          <w:kern w:val="0"/>
          <w:sz w:val="22"/>
          <w:szCs w:val="22"/>
        </w:rPr>
        <w:tab/>
      </w:r>
      <w:r>
        <w:rPr>
          <w:rStyle w:val="12"/>
          <w:rFonts w:eastAsia="宋体"/>
        </w:rPr>
        <w:t>CBG based HARQ feedback is not supported in Rel-16 V2X</w:t>
      </w:r>
      <w:r>
        <w:rPr>
          <w:rStyle w:val="12"/>
          <w:rFonts w:eastAsia="宋体"/>
        </w:rPr>
        <w:fldChar w:fldCharType="end"/>
      </w:r>
    </w:p>
    <w:p>
      <w:pPr>
        <w:pStyle w:val="8"/>
        <w:tabs>
          <w:tab w:val="left" w:pos="1320"/>
          <w:tab w:val="right" w:leader="dot" w:pos="9650"/>
        </w:tabs>
        <w:spacing w:before="120" w:after="120"/>
        <w:rPr>
          <w:rFonts w:asciiTheme="minorHAnsi" w:hAnsiTheme="minorHAnsi" w:cstheme="minorBidi"/>
          <w:b w:val="0"/>
          <w:i w:val="0"/>
          <w:kern w:val="0"/>
          <w:sz w:val="22"/>
          <w:szCs w:val="22"/>
        </w:rPr>
      </w:pPr>
      <w:r>
        <w:fldChar w:fldCharType="begin"/>
      </w:r>
      <w:r>
        <w:instrText xml:space="preserve"> HYPERLINK \l "_Toc7752730" </w:instrText>
      </w:r>
      <w:r>
        <w:fldChar w:fldCharType="separate"/>
      </w:r>
      <w:r>
        <w:rPr>
          <w:rStyle w:val="12"/>
          <w:rFonts w:eastAsia="宋体"/>
        </w:rPr>
        <w:t>Proposal 10:</w:t>
      </w:r>
      <w:r>
        <w:rPr>
          <w:rFonts w:asciiTheme="minorHAnsi" w:hAnsiTheme="minorHAnsi" w:cstheme="minorBidi"/>
          <w:b w:val="0"/>
          <w:i w:val="0"/>
          <w:kern w:val="0"/>
          <w:sz w:val="22"/>
          <w:szCs w:val="22"/>
        </w:rPr>
        <w:tab/>
      </w:r>
      <w:r>
        <w:rPr>
          <w:rStyle w:val="12"/>
          <w:rFonts w:eastAsia="宋体"/>
        </w:rPr>
        <w:t>It is supported that the information of sidelink CSI-RS in associated PSSCH is indicated in SCI.</w:t>
      </w:r>
      <w:r>
        <w:rPr>
          <w:rStyle w:val="12"/>
          <w:rFonts w:eastAsia="宋体"/>
        </w:rPr>
        <w:fldChar w:fldCharType="end"/>
      </w:r>
    </w:p>
    <w:p>
      <w:pPr>
        <w:pStyle w:val="8"/>
        <w:tabs>
          <w:tab w:val="left" w:pos="1320"/>
          <w:tab w:val="right" w:leader="dot" w:pos="9650"/>
        </w:tabs>
        <w:spacing w:before="120" w:after="120"/>
        <w:rPr>
          <w:rFonts w:asciiTheme="minorHAnsi" w:hAnsiTheme="minorHAnsi" w:cstheme="minorBidi"/>
          <w:b w:val="0"/>
          <w:i w:val="0"/>
          <w:kern w:val="0"/>
          <w:sz w:val="22"/>
          <w:szCs w:val="22"/>
        </w:rPr>
      </w:pPr>
      <w:r>
        <w:fldChar w:fldCharType="begin"/>
      </w:r>
      <w:r>
        <w:instrText xml:space="preserve"> HYPERLINK \l "_Toc7752731" </w:instrText>
      </w:r>
      <w:r>
        <w:fldChar w:fldCharType="separate"/>
      </w:r>
      <w:r>
        <w:rPr>
          <w:rStyle w:val="12"/>
          <w:rFonts w:eastAsia="宋体"/>
        </w:rPr>
        <w:t>Proposal 11:</w:t>
      </w:r>
      <w:r>
        <w:rPr>
          <w:rFonts w:asciiTheme="minorHAnsi" w:hAnsiTheme="minorHAnsi" w:cstheme="minorBidi"/>
          <w:b w:val="0"/>
          <w:i w:val="0"/>
          <w:kern w:val="0"/>
          <w:sz w:val="22"/>
          <w:szCs w:val="22"/>
        </w:rPr>
        <w:tab/>
      </w:r>
      <w:r>
        <w:rPr>
          <w:rStyle w:val="12"/>
          <w:lang w:eastAsia="ko-KR"/>
        </w:rPr>
        <w:t>CQI/RI</w:t>
      </w:r>
      <w:r>
        <w:rPr>
          <w:rStyle w:val="12"/>
        </w:rPr>
        <w:t xml:space="preserve"> reporting is carried in MAC CE, and no information is needed in SCI to indicate the presence of </w:t>
      </w:r>
      <w:r>
        <w:rPr>
          <w:rStyle w:val="12"/>
          <w:lang w:eastAsia="ko-KR"/>
        </w:rPr>
        <w:t>CQI/RI</w:t>
      </w:r>
      <w:r>
        <w:rPr>
          <w:rStyle w:val="12"/>
        </w:rPr>
        <w:t xml:space="preserve"> reporting.</w:t>
      </w:r>
      <w:r>
        <w:rPr>
          <w:rStyle w:val="12"/>
        </w:rPr>
        <w:fldChar w:fldCharType="end"/>
      </w:r>
    </w:p>
    <w:p>
      <w:pPr>
        <w:pStyle w:val="8"/>
        <w:tabs>
          <w:tab w:val="left" w:pos="1320"/>
          <w:tab w:val="right" w:leader="dot" w:pos="9650"/>
        </w:tabs>
        <w:spacing w:before="120" w:after="120"/>
        <w:rPr>
          <w:rFonts w:asciiTheme="minorHAnsi" w:hAnsiTheme="minorHAnsi" w:cstheme="minorBidi"/>
          <w:b w:val="0"/>
          <w:i w:val="0"/>
          <w:kern w:val="0"/>
          <w:sz w:val="22"/>
          <w:szCs w:val="22"/>
        </w:rPr>
      </w:pPr>
      <w:r>
        <w:fldChar w:fldCharType="begin"/>
      </w:r>
      <w:r>
        <w:instrText xml:space="preserve"> HYPERLINK \l "_Toc7752732" </w:instrText>
      </w:r>
      <w:r>
        <w:fldChar w:fldCharType="separate"/>
      </w:r>
      <w:r>
        <w:rPr>
          <w:rStyle w:val="12"/>
          <w:rFonts w:eastAsia="宋体"/>
        </w:rPr>
        <w:t>Proposal 12:</w:t>
      </w:r>
      <w:r>
        <w:rPr>
          <w:rFonts w:asciiTheme="minorHAnsi" w:hAnsiTheme="minorHAnsi" w:cstheme="minorBidi"/>
          <w:b w:val="0"/>
          <w:i w:val="0"/>
          <w:kern w:val="0"/>
          <w:sz w:val="22"/>
          <w:szCs w:val="22"/>
        </w:rPr>
        <w:tab/>
      </w:r>
      <w:r>
        <w:rPr>
          <w:rStyle w:val="12"/>
        </w:rPr>
        <w:t>For the signal used for RX UE RSRP measurement, its TX power is also indicated to the RX UE.</w:t>
      </w:r>
      <w:r>
        <w:rPr>
          <w:rStyle w:val="12"/>
        </w:rPr>
        <w:fldChar w:fldCharType="end"/>
      </w:r>
    </w:p>
    <w:p>
      <w:pPr>
        <w:pStyle w:val="8"/>
        <w:tabs>
          <w:tab w:val="left" w:pos="1320"/>
          <w:tab w:val="right" w:leader="dot" w:pos="9650"/>
        </w:tabs>
        <w:spacing w:before="120" w:after="120"/>
        <w:rPr>
          <w:rFonts w:asciiTheme="minorHAnsi" w:hAnsiTheme="minorHAnsi" w:cstheme="minorBidi"/>
          <w:b w:val="0"/>
          <w:i w:val="0"/>
          <w:kern w:val="0"/>
          <w:sz w:val="22"/>
          <w:szCs w:val="22"/>
        </w:rPr>
      </w:pPr>
      <w:r>
        <w:fldChar w:fldCharType="begin"/>
      </w:r>
      <w:r>
        <w:instrText xml:space="preserve"> HYPERLINK \l "_Toc7752733" </w:instrText>
      </w:r>
      <w:r>
        <w:fldChar w:fldCharType="separate"/>
      </w:r>
      <w:r>
        <w:rPr>
          <w:rStyle w:val="12"/>
          <w:rFonts w:eastAsia="宋体"/>
        </w:rPr>
        <w:t>Proposal 13:</w:t>
      </w:r>
      <w:r>
        <w:rPr>
          <w:rFonts w:asciiTheme="minorHAnsi" w:hAnsiTheme="minorHAnsi" w:cstheme="minorBidi"/>
          <w:b w:val="0"/>
          <w:i w:val="0"/>
          <w:kern w:val="0"/>
          <w:sz w:val="22"/>
          <w:szCs w:val="22"/>
        </w:rPr>
        <w:tab/>
      </w:r>
      <w:r>
        <w:rPr>
          <w:rStyle w:val="12"/>
        </w:rPr>
        <w:t>For PSCCH and PSSCH multiplexing option 3, power boosting for PSCCH is not supported.</w:t>
      </w:r>
      <w:r>
        <w:rPr>
          <w:rStyle w:val="12"/>
        </w:rPr>
        <w:fldChar w:fldCharType="end"/>
      </w:r>
    </w:p>
    <w:p>
      <w:pPr>
        <w:spacing w:before="120" w:after="120"/>
      </w:pPr>
      <w:r>
        <w:fldChar w:fldCharType="end"/>
      </w:r>
    </w:p>
    <w:p>
      <w:pPr>
        <w:pStyle w:val="2"/>
        <w:spacing w:before="120" w:after="120"/>
        <w:ind w:left="0"/>
        <w:rPr>
          <w:rFonts w:eastAsia="宋体"/>
        </w:rPr>
      </w:pPr>
      <w:r>
        <w:rPr>
          <w:rFonts w:hint="eastAsia" w:eastAsia="宋体"/>
        </w:rPr>
        <w:t>Reference</w:t>
      </w:r>
      <w:r>
        <w:rPr>
          <w:rFonts w:eastAsia="宋体"/>
        </w:rPr>
        <w:t>s</w:t>
      </w:r>
    </w:p>
    <w:p>
      <w:pPr>
        <w:widowControl w:val="0"/>
        <w:numPr>
          <w:ilvl w:val="0"/>
          <w:numId w:val="13"/>
        </w:numPr>
        <w:snapToGrid w:val="0"/>
        <w:spacing w:before="120" w:after="120"/>
        <w:rPr>
          <w:sz w:val="20"/>
          <w:lang w:eastAsia="ja-JP"/>
        </w:rPr>
      </w:pPr>
      <w:bookmarkStart w:id="47" w:name="_Ref10683"/>
      <w:bookmarkStart w:id="48" w:name="_Ref17466"/>
      <w:r>
        <w:rPr>
          <w:sz w:val="20"/>
          <w:lang w:eastAsia="ja-JP"/>
        </w:rPr>
        <w:t xml:space="preserve">Chairman's Notes RAN1 </w:t>
      </w:r>
      <w:r>
        <w:rPr>
          <w:sz w:val="20"/>
        </w:rPr>
        <w:t xml:space="preserve">#96bis, April 8th </w:t>
      </w:r>
      <w:r>
        <w:rPr>
          <w:sz w:val="20"/>
          <w:lang w:eastAsia="ja-JP"/>
        </w:rPr>
        <w:t>-</w:t>
      </w:r>
      <w:r>
        <w:rPr>
          <w:sz w:val="20"/>
        </w:rPr>
        <w:t>12</w:t>
      </w:r>
      <w:r>
        <w:rPr>
          <w:sz w:val="20"/>
          <w:lang w:eastAsia="ja-JP"/>
        </w:rPr>
        <w:t>th, 20</w:t>
      </w:r>
      <w:r>
        <w:rPr>
          <w:sz w:val="20"/>
        </w:rPr>
        <w:t>19</w:t>
      </w:r>
      <w:bookmarkEnd w:id="47"/>
    </w:p>
    <w:p>
      <w:pPr>
        <w:widowControl w:val="0"/>
        <w:numPr>
          <w:ilvl w:val="0"/>
          <w:numId w:val="13"/>
        </w:numPr>
        <w:snapToGrid w:val="0"/>
        <w:spacing w:before="120" w:after="120"/>
        <w:rPr>
          <w:sz w:val="20"/>
        </w:rPr>
      </w:pPr>
      <w:r>
        <w:rPr>
          <w:sz w:val="20"/>
        </w:rPr>
        <w:t>RP-190766, New WID on 5G V2X with NR sidelink, LG Electron</w:t>
      </w:r>
      <w:r>
        <w:rPr>
          <w:sz w:val="20"/>
          <w:szCs w:val="22"/>
        </w:rPr>
        <w:t>ics</w:t>
      </w:r>
      <w:r>
        <w:rPr>
          <w:sz w:val="20"/>
          <w:szCs w:val="22"/>
          <w:lang w:val="en-US" w:eastAsia="zh-CN"/>
        </w:rPr>
        <w:t xml:space="preserve">, </w:t>
      </w:r>
      <w:bookmarkStart w:id="49" w:name="_GoBack"/>
      <w:bookmarkEnd w:id="49"/>
      <w:r>
        <w:rPr>
          <w:sz w:val="20"/>
          <w:szCs w:val="22"/>
          <w:lang w:val="en-US" w:eastAsia="zh-CN"/>
        </w:rPr>
        <w:t>Huawei</w:t>
      </w:r>
      <w:r>
        <w:rPr>
          <w:sz w:val="20"/>
          <w:szCs w:val="22"/>
        </w:rPr>
        <w:t>.</w:t>
      </w:r>
      <w:bookmarkEnd w:id="48"/>
    </w:p>
    <w:p>
      <w:pPr>
        <w:spacing w:beforeLines="0" w:afterLines="0"/>
        <w:jc w:val="left"/>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5377851"/>
      <w:docPartObj>
        <w:docPartGallery w:val="AutoText"/>
      </w:docPartObj>
    </w:sdtPr>
    <w:sdtContent>
      <w:p>
        <w:pPr>
          <w:pStyle w:val="6"/>
          <w:spacing w:before="120" w:after="120"/>
          <w:jc w:val="center"/>
        </w:pPr>
        <w:r>
          <w:fldChar w:fldCharType="begin"/>
        </w:r>
        <w:r>
          <w:instrText xml:space="preserve"> PAGE   \* MERGEFORMAT </w:instrText>
        </w:r>
        <w:r>
          <w:fldChar w:fldCharType="separate"/>
        </w:r>
        <w:r>
          <w:t>5</w:t>
        </w:r>
        <w:r>
          <w:fldChar w:fldCharType="end"/>
        </w:r>
      </w:p>
    </w:sdtContent>
  </w:sdt>
  <w:p>
    <w:pPr>
      <w:pStyle w:val="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44A3D1"/>
    <w:multiLevelType w:val="singleLevel"/>
    <w:tmpl w:val="CE44A3D1"/>
    <w:lvl w:ilvl="0" w:tentative="0">
      <w:start w:val="1"/>
      <w:numFmt w:val="bullet"/>
      <w:pStyle w:val="20"/>
      <w:lvlText w:val="•"/>
      <w:lvlJc w:val="left"/>
      <w:pPr>
        <w:tabs>
          <w:tab w:val="left" w:pos="807"/>
        </w:tabs>
        <w:ind w:left="420" w:firstLine="0"/>
      </w:pPr>
      <w:rPr>
        <w:rFonts w:hint="default" w:ascii="Arial" w:hAnsi="Arial" w:cs="Arial"/>
      </w:rPr>
    </w:lvl>
  </w:abstractNum>
  <w:abstractNum w:abstractNumId="1">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2">
    <w:nsid w:val="1D627649"/>
    <w:multiLevelType w:val="multilevel"/>
    <w:tmpl w:val="1D62764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E7B5392"/>
    <w:multiLevelType w:val="multilevel"/>
    <w:tmpl w:val="2E7B539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1343BB7"/>
    <w:multiLevelType w:val="singleLevel"/>
    <w:tmpl w:val="31343BB7"/>
    <w:lvl w:ilvl="0" w:tentative="0">
      <w:start w:val="1"/>
      <w:numFmt w:val="decimal"/>
      <w:pStyle w:val="17"/>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72AA324"/>
    <w:multiLevelType w:val="multilevel"/>
    <w:tmpl w:val="372AA324"/>
    <w:lvl w:ilvl="0" w:tentative="0">
      <w:start w:val="1"/>
      <w:numFmt w:val="decimal"/>
      <w:pStyle w:val="16"/>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3A877D64"/>
    <w:multiLevelType w:val="singleLevel"/>
    <w:tmpl w:val="3A877D64"/>
    <w:lvl w:ilvl="0" w:tentative="0">
      <w:start w:val="1"/>
      <w:numFmt w:val="decimal"/>
      <w:pStyle w:val="18"/>
      <w:lvlText w:val="[%1]"/>
      <w:lvlJc w:val="left"/>
      <w:pPr>
        <w:tabs>
          <w:tab w:val="left" w:pos="360"/>
        </w:tabs>
        <w:ind w:left="360" w:hanging="360"/>
      </w:pPr>
    </w:lvl>
  </w:abstractNum>
  <w:abstractNum w:abstractNumId="8">
    <w:nsid w:val="485B1F54"/>
    <w:multiLevelType w:val="multilevel"/>
    <w:tmpl w:val="485B1F5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7F17250"/>
    <w:multiLevelType w:val="multilevel"/>
    <w:tmpl w:val="57F172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DAF3C20"/>
    <w:multiLevelType w:val="multilevel"/>
    <w:tmpl w:val="5DAF3C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CC20F12"/>
    <w:multiLevelType w:val="multilevel"/>
    <w:tmpl w:val="6CC20F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CF25927"/>
    <w:multiLevelType w:val="multilevel"/>
    <w:tmpl w:val="6CF259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6"/>
  </w:num>
  <w:num w:numId="3">
    <w:abstractNumId w:val="5"/>
  </w:num>
  <w:num w:numId="4">
    <w:abstractNumId w:val="7"/>
  </w:num>
  <w:num w:numId="5">
    <w:abstractNumId w:val="0"/>
  </w:num>
  <w:num w:numId="6">
    <w:abstractNumId w:val="4"/>
  </w:num>
  <w:num w:numId="7">
    <w:abstractNumId w:val="9"/>
  </w:num>
  <w:num w:numId="8">
    <w:abstractNumId w:val="11"/>
  </w:num>
  <w:num w:numId="9">
    <w:abstractNumId w:val="8"/>
  </w:num>
  <w:num w:numId="10">
    <w:abstractNumId w:val="10"/>
  </w:num>
  <w:num w:numId="11">
    <w:abstractNumId w:val="12"/>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284819"/>
    <w:rsid w:val="00415A01"/>
    <w:rsid w:val="00474D46"/>
    <w:rsid w:val="00491DB1"/>
    <w:rsid w:val="00571C54"/>
    <w:rsid w:val="00CA568B"/>
    <w:rsid w:val="00CC33D5"/>
    <w:rsid w:val="00CC6EF3"/>
    <w:rsid w:val="00FB7CA4"/>
    <w:rsid w:val="00FD5FC4"/>
    <w:rsid w:val="01764F01"/>
    <w:rsid w:val="01AE307F"/>
    <w:rsid w:val="024D6B6A"/>
    <w:rsid w:val="029B04E7"/>
    <w:rsid w:val="03073BDC"/>
    <w:rsid w:val="0555228E"/>
    <w:rsid w:val="05E078B3"/>
    <w:rsid w:val="09F67CD5"/>
    <w:rsid w:val="0B9E71DF"/>
    <w:rsid w:val="0CD87ABE"/>
    <w:rsid w:val="119D7849"/>
    <w:rsid w:val="14DA3DA1"/>
    <w:rsid w:val="167A52A9"/>
    <w:rsid w:val="1A054259"/>
    <w:rsid w:val="1B7F6005"/>
    <w:rsid w:val="1C132CB9"/>
    <w:rsid w:val="1CCC26CA"/>
    <w:rsid w:val="1E9D6342"/>
    <w:rsid w:val="204E6676"/>
    <w:rsid w:val="2195668B"/>
    <w:rsid w:val="2463385E"/>
    <w:rsid w:val="25134332"/>
    <w:rsid w:val="27AB7429"/>
    <w:rsid w:val="29FA7F26"/>
    <w:rsid w:val="2EEA6E65"/>
    <w:rsid w:val="2F1251F2"/>
    <w:rsid w:val="30962F3E"/>
    <w:rsid w:val="30FF2795"/>
    <w:rsid w:val="329A6ACE"/>
    <w:rsid w:val="361F3323"/>
    <w:rsid w:val="36E93760"/>
    <w:rsid w:val="37173233"/>
    <w:rsid w:val="3784394E"/>
    <w:rsid w:val="3ACB5746"/>
    <w:rsid w:val="3BB20883"/>
    <w:rsid w:val="3E441C7D"/>
    <w:rsid w:val="3FC956FF"/>
    <w:rsid w:val="41F466FD"/>
    <w:rsid w:val="440D5045"/>
    <w:rsid w:val="45BE6191"/>
    <w:rsid w:val="460C5979"/>
    <w:rsid w:val="473069AF"/>
    <w:rsid w:val="47C01792"/>
    <w:rsid w:val="4808150F"/>
    <w:rsid w:val="4AC31003"/>
    <w:rsid w:val="4AE93159"/>
    <w:rsid w:val="4BD0339A"/>
    <w:rsid w:val="4C923A72"/>
    <w:rsid w:val="4D462159"/>
    <w:rsid w:val="4DC605B6"/>
    <w:rsid w:val="4DEC0985"/>
    <w:rsid w:val="4E27683A"/>
    <w:rsid w:val="4F285975"/>
    <w:rsid w:val="51867298"/>
    <w:rsid w:val="52E04D27"/>
    <w:rsid w:val="53DB3477"/>
    <w:rsid w:val="55DD6F2A"/>
    <w:rsid w:val="56375B61"/>
    <w:rsid w:val="57FC07D9"/>
    <w:rsid w:val="58500F22"/>
    <w:rsid w:val="5C6B1600"/>
    <w:rsid w:val="5D5B7098"/>
    <w:rsid w:val="5DFD51DB"/>
    <w:rsid w:val="607C3753"/>
    <w:rsid w:val="60C30855"/>
    <w:rsid w:val="61421EFD"/>
    <w:rsid w:val="615C5041"/>
    <w:rsid w:val="649B1AC2"/>
    <w:rsid w:val="664805B8"/>
    <w:rsid w:val="6A7B4B9C"/>
    <w:rsid w:val="6C89456C"/>
    <w:rsid w:val="6FA629D4"/>
    <w:rsid w:val="70BB2EF0"/>
    <w:rsid w:val="75202656"/>
    <w:rsid w:val="78782A0D"/>
    <w:rsid w:val="79D33056"/>
    <w:rsid w:val="79EC0256"/>
    <w:rsid w:val="7A851D5D"/>
    <w:rsid w:val="7C26369C"/>
    <w:rsid w:val="7C9E5A24"/>
    <w:rsid w:val="7D62117D"/>
    <w:rsid w:val="7E3E1EF2"/>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before="50" w:beforeLines="50" w:after="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character" w:default="1" w:styleId="11">
    <w:name w:val="Default Paragraph Font"/>
    <w:semiHidden/>
    <w:unhideWhenUsed/>
    <w:uiPriority w:val="1"/>
  </w:style>
  <w:style w:type="table" w:default="1" w:styleId="14">
    <w:name w:val="Normal Table"/>
    <w:semiHidden/>
    <w:unhideWhenUsed/>
    <w:uiPriority w:val="99"/>
    <w:tblPr>
      <w:tblLayout w:type="fixed"/>
      <w:tblCellMar>
        <w:top w:w="0" w:type="dxa"/>
        <w:left w:w="108" w:type="dxa"/>
        <w:bottom w:w="0" w:type="dxa"/>
        <w:right w:w="108" w:type="dxa"/>
      </w:tblCellMar>
    </w:tblPr>
  </w:style>
  <w:style w:type="paragraph" w:styleId="5">
    <w:name w:val="annotation text"/>
    <w:basedOn w:val="1"/>
    <w:semiHidden/>
    <w:unhideWhenUsed/>
    <w:uiPriority w:val="99"/>
    <w:pPr>
      <w:jc w:val="left"/>
    </w:pPr>
  </w:style>
  <w:style w:type="paragraph" w:styleId="6">
    <w:name w:val="footer"/>
    <w:basedOn w:val="1"/>
    <w:link w:val="24"/>
    <w:unhideWhenUsed/>
    <w:qFormat/>
    <w:uiPriority w:val="99"/>
    <w:pPr>
      <w:tabs>
        <w:tab w:val="center" w:pos="4153"/>
        <w:tab w:val="right" w:pos="8306"/>
      </w:tabs>
      <w:snapToGrid w:val="0"/>
      <w:jc w:val="left"/>
    </w:pPr>
    <w:rPr>
      <w:sz w:val="18"/>
      <w:szCs w:val="18"/>
    </w:rPr>
  </w:style>
  <w:style w:type="paragraph" w:styleId="7">
    <w:name w:val="header"/>
    <w:basedOn w:val="1"/>
    <w:link w:val="23"/>
    <w:semiHidden/>
    <w:qFormat/>
    <w:uiPriority w:val="0"/>
    <w:pPr>
      <w:tabs>
        <w:tab w:val="center" w:pos="4680"/>
        <w:tab w:val="right" w:pos="9360"/>
      </w:tabs>
      <w:spacing w:before="0" w:after="0" w:line="240" w:lineRule="auto"/>
    </w:pPr>
  </w:style>
  <w:style w:type="paragraph" w:styleId="8">
    <w:name w:val="toc 1"/>
    <w:basedOn w:val="1"/>
    <w:next w:val="1"/>
    <w:unhideWhenUsed/>
    <w:qFormat/>
    <w:uiPriority w:val="39"/>
    <w:rPr>
      <w:rFonts w:eastAsiaTheme="minorEastAsia"/>
      <w:b/>
      <w:i/>
      <w:sz w:val="20"/>
    </w:rPr>
  </w:style>
  <w:style w:type="paragraph" w:styleId="9">
    <w:name w:val="table of figures"/>
    <w:basedOn w:val="1"/>
    <w:next w:val="1"/>
    <w:semiHidden/>
    <w:unhideWhenUsed/>
    <w:qFormat/>
    <w:uiPriority w:val="99"/>
    <w:pPr>
      <w:ind w:left="200" w:leftChars="200" w:hanging="200" w:hangingChars="200"/>
    </w:pPr>
  </w:style>
  <w:style w:type="paragraph" w:styleId="10">
    <w:name w:val="toc 2"/>
    <w:basedOn w:val="1"/>
    <w:next w:val="1"/>
    <w:semiHidden/>
    <w:unhideWhenUsed/>
    <w:qFormat/>
    <w:uiPriority w:val="99"/>
    <w:pPr>
      <w:ind w:left="420" w:leftChars="200"/>
    </w:pPr>
    <w:rPr>
      <w:b/>
      <w:i/>
      <w:sz w:val="20"/>
    </w:rPr>
  </w:style>
  <w:style w:type="character" w:styleId="12">
    <w:name w:val="Hyperlink"/>
    <w:qFormat/>
    <w:uiPriority w:val="99"/>
    <w:rPr>
      <w:color w:val="0000FF"/>
      <w:u w:val="single"/>
    </w:rPr>
  </w:style>
  <w:style w:type="character" w:styleId="13">
    <w:name w:val="annotation reference"/>
    <w:basedOn w:val="11"/>
    <w:semiHidden/>
    <w:unhideWhenUsed/>
    <w:qFormat/>
    <w:uiPriority w:val="99"/>
    <w:rPr>
      <w:sz w:val="16"/>
      <w:szCs w:val="16"/>
    </w:rPr>
  </w:style>
  <w:style w:type="table" w:styleId="15">
    <w:name w:val="Table Grid"/>
    <w:basedOn w:val="1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6">
    <w:name w:val="YJ-Proposal"/>
    <w:basedOn w:val="1"/>
    <w:qFormat/>
    <w:uiPriority w:val="0"/>
    <w:pPr>
      <w:numPr>
        <w:ilvl w:val="0"/>
        <w:numId w:val="2"/>
      </w:numPr>
    </w:pPr>
    <w:rPr>
      <w:rFonts w:eastAsiaTheme="minorEastAsia"/>
      <w:b/>
      <w:bCs/>
      <w:i/>
      <w:iCs/>
      <w:sz w:val="20"/>
      <w:lang w:val="en-GB" w:eastAsia="en-US"/>
    </w:rPr>
  </w:style>
  <w:style w:type="paragraph" w:customStyle="1" w:styleId="17">
    <w:name w:val="YJ-Observation"/>
    <w:basedOn w:val="16"/>
    <w:qFormat/>
    <w:uiPriority w:val="0"/>
    <w:pPr>
      <w:numPr>
        <w:ilvl w:val="0"/>
        <w:numId w:val="3"/>
      </w:numPr>
      <w:tabs>
        <w:tab w:val="left" w:pos="420"/>
      </w:tabs>
    </w:pPr>
  </w:style>
  <w:style w:type="paragraph" w:customStyle="1" w:styleId="18">
    <w:name w:val="References"/>
    <w:basedOn w:val="1"/>
    <w:qFormat/>
    <w:uiPriority w:val="0"/>
    <w:pPr>
      <w:numPr>
        <w:ilvl w:val="0"/>
        <w:numId w:val="4"/>
      </w:numPr>
      <w:spacing w:after="60"/>
    </w:pPr>
    <w:rPr>
      <w:szCs w:val="16"/>
    </w:rPr>
  </w:style>
  <w:style w:type="paragraph" w:styleId="19">
    <w:name w:val="List Paragraph"/>
    <w:basedOn w:val="1"/>
    <w:qFormat/>
    <w:uiPriority w:val="34"/>
    <w:pPr>
      <w:spacing w:beforeLines="0" w:after="0" w:line="240" w:lineRule="auto"/>
      <w:ind w:left="720"/>
      <w:contextualSpacing/>
    </w:pPr>
    <w:rPr>
      <w:rFonts w:eastAsia="Times New Roman"/>
      <w:sz w:val="24"/>
      <w:szCs w:val="24"/>
    </w:rPr>
  </w:style>
  <w:style w:type="paragraph" w:customStyle="1" w:styleId="20">
    <w:name w:val="sub-proposal"/>
    <w:basedOn w:val="16"/>
    <w:next w:val="1"/>
    <w:qFormat/>
    <w:uiPriority w:val="0"/>
    <w:pPr>
      <w:numPr>
        <w:numId w:val="5"/>
      </w:numPr>
      <w:tabs>
        <w:tab w:val="left" w:pos="807"/>
      </w:tabs>
    </w:pPr>
  </w:style>
  <w:style w:type="paragraph" w:customStyle="1" w:styleId="21">
    <w:name w:val="样式1"/>
    <w:basedOn w:val="1"/>
    <w:qFormat/>
    <w:uiPriority w:val="0"/>
  </w:style>
  <w:style w:type="paragraph" w:customStyle="1" w:styleId="22">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23">
    <w:name w:val="Header Char"/>
    <w:basedOn w:val="11"/>
    <w:link w:val="7"/>
    <w:semiHidden/>
    <w:uiPriority w:val="0"/>
    <w:rPr>
      <w:rFonts w:eastAsia="宋体"/>
      <w:kern w:val="2"/>
      <w:sz w:val="21"/>
    </w:rPr>
  </w:style>
  <w:style w:type="character" w:customStyle="1" w:styleId="24">
    <w:name w:val="Footer Char"/>
    <w:basedOn w:val="11"/>
    <w:link w:val="6"/>
    <w:uiPriority w:val="99"/>
    <w:rPr>
      <w:rFonts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2796</Words>
  <Characters>15938</Characters>
  <Lines>132</Lines>
  <Paragraphs>37</Paragraphs>
  <TotalTime>1</TotalTime>
  <ScaleCrop>false</ScaleCrop>
  <LinksUpToDate>false</LinksUpToDate>
  <CharactersWithSpaces>18697</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2019-04-08T03:09:00Z</dcterms:created>
  <dc:creator>ZTE</dc:creator>
  <cp:lastModifiedBy>ZTE</cp:lastModifiedBy>
  <dcterms:modified xsi:type="dcterms:W3CDTF">2019-05-03T06:51:16Z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